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6318" w14:textId="0053FD6C" w:rsidR="003C3445" w:rsidRDefault="003C3445" w:rsidP="003C34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D2A36">
        <w:rPr>
          <w:rFonts w:ascii="Times New Roman" w:hAnsi="Times New Roman" w:cs="Times New Roman"/>
          <w:b/>
          <w:bCs/>
          <w:sz w:val="28"/>
          <w:szCs w:val="28"/>
        </w:rPr>
        <w:t xml:space="preserve">Finfluencers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r w:rsidRPr="00BD2A36">
        <w:rPr>
          <w:rFonts w:ascii="Times New Roman" w:hAnsi="Times New Roman" w:cs="Times New Roman"/>
          <w:b/>
          <w:bCs/>
          <w:sz w:val="28"/>
          <w:szCs w:val="28"/>
        </w:rPr>
        <w:t>Retail Investors’ Behaviour: A Systematic Review and Research Agenda</w:t>
      </w:r>
    </w:p>
    <w:p w14:paraId="4C5749CA" w14:textId="77777777" w:rsidR="003C3445" w:rsidRPr="00BF4A9D" w:rsidRDefault="003C3445" w:rsidP="003C3445">
      <w:pPr>
        <w:pStyle w:val="Paper"/>
        <w:rPr>
          <w:rStyle w:val="BookTitle"/>
          <w:b/>
          <w:bCs w:val="0"/>
          <w:i w:val="0"/>
          <w:iCs w:val="0"/>
          <w:spacing w:val="0"/>
        </w:rPr>
      </w:pPr>
      <w:r w:rsidRPr="00BF4A9D">
        <w:rPr>
          <w:rStyle w:val="BookTitle"/>
          <w:b/>
          <w:bCs w:val="0"/>
          <w:i w:val="0"/>
          <w:iCs w:val="0"/>
          <w:spacing w:val="0"/>
        </w:rPr>
        <w:t>Abstract</w:t>
      </w:r>
    </w:p>
    <w:p w14:paraId="7B29D181" w14:textId="1A95E801" w:rsidR="00224CD0" w:rsidRDefault="007256F6" w:rsidP="003C34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Although much information is available on the power of influencers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sway consumer sentiment across various product dimensions, research on the rise of finfluencers and their impact on the </w:t>
      </w:r>
      <w:r w:rsidR="00124C77">
        <w:rPr>
          <w:rFonts w:ascii="Times New Roman" w:hAnsi="Times New Roman" w:cs="Times New Roman"/>
          <w:sz w:val="24"/>
          <w:szCs w:val="24"/>
          <w:lang w:val="en-US"/>
        </w:rPr>
        <w:t>retail investors’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24C77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 is still nascent.</w:t>
      </w:r>
      <w:r w:rsidR="000960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1DC6" w:rsidRPr="005B19A2">
        <w:rPr>
          <w:rFonts w:ascii="Times New Roman" w:hAnsi="Times New Roman" w:cs="Times New Roman"/>
          <w:sz w:val="24"/>
          <w:szCs w:val="24"/>
          <w:lang w:val="en-US"/>
        </w:rPr>
        <w:t>To address this gap</w:t>
      </w:r>
      <w:r w:rsidR="00971DC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71DC6"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 this study systematically reviews </w:t>
      </w:r>
      <w:r w:rsidR="00971DC6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971DC6"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 research articles </w:t>
      </w:r>
      <w:r w:rsidR="00971DC6">
        <w:rPr>
          <w:rFonts w:ascii="Times New Roman" w:hAnsi="Times New Roman" w:cs="Times New Roman"/>
          <w:sz w:val="24"/>
          <w:szCs w:val="24"/>
          <w:lang w:val="en-US"/>
        </w:rPr>
        <w:t xml:space="preserve">accessed via the SCOPUS database </w:t>
      </w:r>
      <w:r w:rsidR="00971DC6"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and presents literature from </w:t>
      </w:r>
      <w:r w:rsidR="00971DC6">
        <w:rPr>
          <w:rFonts w:ascii="Times New Roman" w:hAnsi="Times New Roman" w:cs="Times New Roman"/>
          <w:sz w:val="24"/>
          <w:szCs w:val="24"/>
          <w:lang w:val="en-US"/>
        </w:rPr>
        <w:t>the post-COVID</w:t>
      </w:r>
      <w:r w:rsidR="00971DC6"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 period</w:t>
      </w:r>
      <w:r w:rsidR="00971DC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B3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1DC6" w:rsidRPr="00124C77">
        <w:rPr>
          <w:rFonts w:ascii="Times New Roman" w:hAnsi="Times New Roman" w:cs="Times New Roman"/>
          <w:sz w:val="24"/>
          <w:szCs w:val="24"/>
        </w:rPr>
        <w:t>A systematic literature review was conducted following the Preferred Reporting Items for Systematic Reviews and Meta-Analyses (PRISMA) 2020 guidelines, resulting in the identification and analysis of 5</w:t>
      </w:r>
      <w:r w:rsidR="00971DC6">
        <w:rPr>
          <w:rFonts w:ascii="Times New Roman" w:hAnsi="Times New Roman" w:cs="Times New Roman"/>
          <w:sz w:val="24"/>
          <w:szCs w:val="24"/>
        </w:rPr>
        <w:t>5</w:t>
      </w:r>
      <w:r w:rsidR="00971DC6" w:rsidRPr="00124C77">
        <w:rPr>
          <w:rFonts w:ascii="Times New Roman" w:hAnsi="Times New Roman" w:cs="Times New Roman"/>
          <w:sz w:val="24"/>
          <w:szCs w:val="24"/>
        </w:rPr>
        <w:t xml:space="preserve"> relevant studies.</w:t>
      </w:r>
      <w:r w:rsidR="000B388A" w:rsidRPr="00124C77">
        <w:rPr>
          <w:rFonts w:ascii="Times New Roman" w:hAnsi="Times New Roman" w:cs="Times New Roman"/>
          <w:sz w:val="24"/>
          <w:szCs w:val="24"/>
        </w:rPr>
        <w:t xml:space="preserve"> The selected literature was </w:t>
      </w:r>
      <w:r w:rsidR="000B388A">
        <w:rPr>
          <w:rFonts w:ascii="Times New Roman" w:hAnsi="Times New Roman" w:cs="Times New Roman"/>
          <w:sz w:val="24"/>
          <w:szCs w:val="24"/>
        </w:rPr>
        <w:t>synthesised</w:t>
      </w:r>
      <w:r w:rsidR="000B388A" w:rsidRPr="00124C77">
        <w:rPr>
          <w:rFonts w:ascii="Times New Roman" w:hAnsi="Times New Roman" w:cs="Times New Roman"/>
          <w:sz w:val="24"/>
          <w:szCs w:val="24"/>
        </w:rPr>
        <w:t xml:space="preserve"> using the Theories, Contexts, Characteristics, and Methodologies (TCCM) framework to chart research trends and methodological approaches</w:t>
      </w:r>
      <w:r w:rsidR="000B388A">
        <w:rPr>
          <w:rFonts w:ascii="Times New Roman" w:hAnsi="Times New Roman" w:cs="Times New Roman"/>
          <w:sz w:val="24"/>
          <w:szCs w:val="24"/>
        </w:rPr>
        <w:t xml:space="preserve">. </w:t>
      </w:r>
      <w:r w:rsidR="000B3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Finfluencer </w:t>
      </w:r>
      <w:r w:rsidR="000B388A">
        <w:rPr>
          <w:rFonts w:ascii="Times New Roman" w:hAnsi="Times New Roman" w:cs="Times New Roman"/>
          <w:sz w:val="24"/>
          <w:szCs w:val="24"/>
          <w:lang w:val="en-US"/>
        </w:rPr>
        <w:t xml:space="preserve">or financial influencer </w:t>
      </w:r>
      <w:r>
        <w:rPr>
          <w:rFonts w:ascii="Times New Roman" w:hAnsi="Times New Roman" w:cs="Times New Roman"/>
          <w:sz w:val="24"/>
          <w:szCs w:val="24"/>
          <w:lang w:val="en-US"/>
        </w:rPr>
        <w:t>keywords were employed.</w:t>
      </w:r>
      <w:r w:rsidR="00397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445" w:rsidRPr="005B19A2">
        <w:rPr>
          <w:rFonts w:ascii="Times New Roman" w:hAnsi="Times New Roman" w:cs="Times New Roman"/>
          <w:sz w:val="24"/>
          <w:szCs w:val="24"/>
          <w:lang w:val="en-US"/>
        </w:rPr>
        <w:t>This study aims to understand (</w:t>
      </w:r>
      <w:proofErr w:type="spellStart"/>
      <w:r w:rsidR="003C3445" w:rsidRPr="005B19A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C3445" w:rsidRPr="005B19A2">
        <w:rPr>
          <w:rFonts w:ascii="Times New Roman" w:hAnsi="Times New Roman" w:cs="Times New Roman"/>
          <w:sz w:val="24"/>
          <w:szCs w:val="24"/>
          <w:lang w:val="en-US"/>
        </w:rPr>
        <w:t>) the theories that explain the factors affecting the rise of finfluencers and their impact on investment behavior; (ii) the contexts in which the underlying research has been conducted; (iii) the characteristics or factors (independent, moderating, and dependent variables) that explain the role of finfluencers in retail investors decision-making processes; and (iv) the methods that have been employed to understand the underlying research area.</w:t>
      </w:r>
      <w:r w:rsidR="00ED5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19A2">
        <w:rPr>
          <w:rFonts w:ascii="Times New Roman" w:hAnsi="Times New Roman" w:cs="Times New Roman"/>
          <w:sz w:val="24"/>
          <w:szCs w:val="24"/>
          <w:lang w:val="en-US"/>
        </w:rPr>
        <w:t>Following the review, this study outlines a future research agenda for each aspect of the TCCM.</w:t>
      </w:r>
      <w:r w:rsidR="00ED5247" w:rsidRPr="005B1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findings show that not all studies follow any theory as a basis.</w:t>
      </w:r>
      <w:r w:rsidR="008106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Theoretical frameworks such as the elaboration likelihood model and source credibility theory can offer more insights into how finfluencers impact retail investors’ behavior.</w:t>
      </w:r>
      <w:r w:rsidR="00ED52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Moreover, research on finfluencers is not limited to the business and finance domains but also extends to </w:t>
      </w:r>
      <w:r w:rsidRPr="00810605">
        <w:rPr>
          <w:rFonts w:ascii="Times New Roman" w:hAnsi="Times New Roman" w:cs="Times New Roman"/>
          <w:sz w:val="24"/>
          <w:szCs w:val="24"/>
          <w:lang w:val="en-US"/>
        </w:rPr>
        <w:t>psychology, environmental science, arts, and humanities.</w:t>
      </w:r>
      <w:r w:rsidR="00810605" w:rsidRPr="008106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antecedents range from finfluencer traits and technology acceptance to investor psychology.</w:t>
      </w:r>
      <w:r w:rsidR="0099443A">
        <w:rPr>
          <w:rFonts w:ascii="Times New Roman" w:hAnsi="Times New Roman" w:cs="Times New Roman"/>
          <w:sz w:val="24"/>
          <w:szCs w:val="24"/>
          <w:lang w:val="en-US"/>
        </w:rPr>
        <w:t xml:space="preserve"> A few studies used psychological, cognitive, and </w:t>
      </w:r>
      <w:proofErr w:type="spellStart"/>
      <w:r w:rsidR="0099443A">
        <w:rPr>
          <w:rFonts w:ascii="Times New Roman" w:hAnsi="Times New Roman" w:cs="Times New Roman"/>
          <w:sz w:val="24"/>
          <w:szCs w:val="24"/>
          <w:lang w:val="en-US"/>
        </w:rPr>
        <w:t>behavioural</w:t>
      </w:r>
      <w:proofErr w:type="spellEnd"/>
      <w:r w:rsidR="0099443A">
        <w:rPr>
          <w:rFonts w:ascii="Times New Roman" w:hAnsi="Times New Roman" w:cs="Times New Roman"/>
          <w:sz w:val="24"/>
          <w:szCs w:val="24"/>
          <w:lang w:val="en-US"/>
        </w:rPr>
        <w:t xml:space="preserve"> factors as mediators, while demographic factors, market dynamics, and </w:t>
      </w:r>
      <w:r w:rsidR="001F0DA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9443A">
        <w:rPr>
          <w:rFonts w:ascii="Times New Roman" w:hAnsi="Times New Roman" w:cs="Times New Roman"/>
          <w:sz w:val="24"/>
          <w:szCs w:val="24"/>
          <w:lang w:val="en-US"/>
        </w:rPr>
        <w:t xml:space="preserve">inancial </w:t>
      </w:r>
      <w:r w:rsidR="001F0DA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9443A">
        <w:rPr>
          <w:rFonts w:ascii="Times New Roman" w:hAnsi="Times New Roman" w:cs="Times New Roman"/>
          <w:sz w:val="24"/>
          <w:szCs w:val="24"/>
          <w:lang w:val="en-US"/>
        </w:rPr>
        <w:t xml:space="preserve">iteracy moderated a few studies to </w:t>
      </w:r>
      <w:proofErr w:type="spellStart"/>
      <w:r w:rsidR="0099443A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="0099443A">
        <w:rPr>
          <w:rFonts w:ascii="Times New Roman" w:hAnsi="Times New Roman" w:cs="Times New Roman"/>
          <w:sz w:val="24"/>
          <w:szCs w:val="24"/>
          <w:lang w:val="en-US"/>
        </w:rPr>
        <w:t xml:space="preserve"> the impact on investor </w:t>
      </w:r>
      <w:proofErr w:type="spellStart"/>
      <w:r w:rsidR="0099443A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="0099443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D52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12E7">
        <w:rPr>
          <w:rFonts w:ascii="Times New Roman" w:hAnsi="Times New Roman" w:cs="Times New Roman"/>
          <w:sz w:val="24"/>
          <w:szCs w:val="24"/>
          <w:lang w:val="en-US"/>
        </w:rPr>
        <w:t>Future research should include creators representing different genders, ethnicities, and appearances.</w:t>
      </w:r>
      <w:r w:rsidR="002235E6">
        <w:rPr>
          <w:rFonts w:ascii="Times New Roman" w:hAnsi="Times New Roman" w:cs="Times New Roman"/>
          <w:sz w:val="24"/>
          <w:szCs w:val="24"/>
          <w:lang w:val="en-US"/>
        </w:rPr>
        <w:t xml:space="preserve"> Longitudinal, multi-method designs, different investment contexts, and risk profiles can be explored further. </w:t>
      </w:r>
      <w:r w:rsidR="00224CD0">
        <w:rPr>
          <w:rFonts w:ascii="Times New Roman" w:hAnsi="Times New Roman" w:cs="Times New Roman"/>
          <w:sz w:val="24"/>
          <w:szCs w:val="24"/>
          <w:lang w:val="en-US"/>
        </w:rPr>
        <w:t xml:space="preserve">This review contributes to the existing corpus of knowledge on finfluencers and investor </w:t>
      </w:r>
      <w:proofErr w:type="spellStart"/>
      <w:r w:rsidR="002235E6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="002235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60459B" w14:textId="77777777" w:rsidR="003825E9" w:rsidRDefault="003825E9" w:rsidP="003825E9">
      <w:pPr>
        <w:pStyle w:val="Paper"/>
        <w:rPr>
          <w:rFonts w:eastAsiaTheme="minorHAnsi" w:cs="Times New Roman"/>
          <w:b w:val="0"/>
          <w:color w:val="auto"/>
          <w:szCs w:val="24"/>
          <w:lang w:val="en-US"/>
        </w:rPr>
      </w:pPr>
      <w:r>
        <w:rPr>
          <w:lang w:val="en-US"/>
        </w:rPr>
        <w:t xml:space="preserve">Keywords – </w:t>
      </w:r>
      <w:r w:rsidRPr="00EB5468">
        <w:rPr>
          <w:rFonts w:eastAsiaTheme="minorHAnsi" w:cs="Times New Roman"/>
          <w:b w:val="0"/>
          <w:color w:val="auto"/>
          <w:szCs w:val="24"/>
          <w:lang w:val="en-US"/>
        </w:rPr>
        <w:t>Finfluencers</w:t>
      </w:r>
      <w:r>
        <w:rPr>
          <w:rFonts w:eastAsiaTheme="minorHAnsi" w:cs="Times New Roman"/>
          <w:b w:val="0"/>
          <w:color w:val="auto"/>
          <w:szCs w:val="24"/>
          <w:lang w:val="en-US"/>
        </w:rPr>
        <w:t>,</w:t>
      </w:r>
      <w:r w:rsidRPr="00EB5468">
        <w:rPr>
          <w:rFonts w:eastAsiaTheme="minorHAnsi" w:cs="Times New Roman"/>
          <w:b w:val="0"/>
          <w:color w:val="auto"/>
          <w:szCs w:val="24"/>
          <w:lang w:val="en-US"/>
        </w:rPr>
        <w:t xml:space="preserve"> Retail Investors</w:t>
      </w:r>
      <w:r>
        <w:rPr>
          <w:rFonts w:eastAsiaTheme="minorHAnsi" w:cs="Times New Roman"/>
          <w:b w:val="0"/>
          <w:color w:val="auto"/>
          <w:szCs w:val="24"/>
          <w:lang w:val="en-US"/>
        </w:rPr>
        <w:t xml:space="preserve">, </w:t>
      </w:r>
      <w:r w:rsidRPr="00EB5468">
        <w:rPr>
          <w:rFonts w:eastAsiaTheme="minorHAnsi" w:cs="Times New Roman"/>
          <w:b w:val="0"/>
          <w:color w:val="auto"/>
          <w:szCs w:val="24"/>
          <w:lang w:val="en-US"/>
        </w:rPr>
        <w:t>Investment Behaviour</w:t>
      </w:r>
      <w:r>
        <w:rPr>
          <w:rFonts w:eastAsiaTheme="minorHAnsi" w:cs="Times New Roman"/>
          <w:b w:val="0"/>
          <w:color w:val="auto"/>
          <w:szCs w:val="24"/>
          <w:lang w:val="en-US"/>
        </w:rPr>
        <w:t>,</w:t>
      </w:r>
      <w:r w:rsidRPr="00EB5468">
        <w:rPr>
          <w:rFonts w:eastAsiaTheme="minorHAnsi" w:cs="Times New Roman"/>
          <w:b w:val="0"/>
          <w:color w:val="auto"/>
          <w:szCs w:val="24"/>
          <w:lang w:val="en-US"/>
        </w:rPr>
        <w:t xml:space="preserve"> ELM</w:t>
      </w:r>
      <w:r>
        <w:rPr>
          <w:rFonts w:eastAsiaTheme="minorHAnsi" w:cs="Times New Roman"/>
          <w:b w:val="0"/>
          <w:color w:val="auto"/>
          <w:szCs w:val="24"/>
          <w:lang w:val="en-US"/>
        </w:rPr>
        <w:t>, Source credibility theory, TCCM, PRISMA</w:t>
      </w:r>
    </w:p>
    <w:p w14:paraId="1DAB5FF7" w14:textId="37A3C243" w:rsidR="00ED5247" w:rsidRDefault="00ED5247" w:rsidP="003C34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6DB48B" w14:textId="77777777" w:rsidR="007712E7" w:rsidRDefault="007712E7" w:rsidP="003C34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34999A" w14:textId="77777777" w:rsidR="00234627" w:rsidRDefault="00234627"/>
    <w:sectPr w:rsidR="00234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45"/>
    <w:rsid w:val="00073F47"/>
    <w:rsid w:val="000960C4"/>
    <w:rsid w:val="000B388A"/>
    <w:rsid w:val="000E05B2"/>
    <w:rsid w:val="00124C77"/>
    <w:rsid w:val="001F0DA0"/>
    <w:rsid w:val="002235E6"/>
    <w:rsid w:val="00224CD0"/>
    <w:rsid w:val="00234627"/>
    <w:rsid w:val="00234902"/>
    <w:rsid w:val="003825E9"/>
    <w:rsid w:val="00397F80"/>
    <w:rsid w:val="003C3445"/>
    <w:rsid w:val="00622685"/>
    <w:rsid w:val="007256F6"/>
    <w:rsid w:val="007712E7"/>
    <w:rsid w:val="00810605"/>
    <w:rsid w:val="00864B1A"/>
    <w:rsid w:val="00971DC6"/>
    <w:rsid w:val="0099443A"/>
    <w:rsid w:val="00B5409F"/>
    <w:rsid w:val="00D413DE"/>
    <w:rsid w:val="00ED5247"/>
    <w:rsid w:val="00F32594"/>
    <w:rsid w:val="00F8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B7904"/>
  <w15:chartTrackingRefBased/>
  <w15:docId w15:val="{7607792E-A0F5-42E7-9C56-8F005C73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445"/>
  </w:style>
  <w:style w:type="paragraph" w:styleId="Heading1">
    <w:name w:val="heading 1"/>
    <w:basedOn w:val="Normal"/>
    <w:next w:val="Normal"/>
    <w:link w:val="Heading1Char"/>
    <w:uiPriority w:val="9"/>
    <w:qFormat/>
    <w:rsid w:val="003C3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4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4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4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4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4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4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445"/>
    <w:rPr>
      <w:b/>
      <w:bCs/>
      <w:smallCaps/>
      <w:color w:val="2F5496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3C3445"/>
    <w:rPr>
      <w:b/>
      <w:bCs/>
      <w:i/>
      <w:iCs/>
      <w:spacing w:val="5"/>
    </w:rPr>
  </w:style>
  <w:style w:type="paragraph" w:customStyle="1" w:styleId="Paper">
    <w:name w:val="Paper"/>
    <w:basedOn w:val="Heading1"/>
    <w:link w:val="PaperChar"/>
    <w:qFormat/>
    <w:rsid w:val="003C3445"/>
    <w:rPr>
      <w:rFonts w:ascii="Times New Roman" w:hAnsi="Times New Roman"/>
      <w:b/>
      <w:color w:val="000000" w:themeColor="text1"/>
      <w:sz w:val="24"/>
    </w:rPr>
  </w:style>
  <w:style w:type="character" w:customStyle="1" w:styleId="PaperChar">
    <w:name w:val="Paper Char"/>
    <w:basedOn w:val="Heading1Char"/>
    <w:link w:val="Paper"/>
    <w:rsid w:val="003C3445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styleId="PlaceholderText">
    <w:name w:val="Placeholder Text"/>
    <w:basedOn w:val="DefaultParagraphFont"/>
    <w:uiPriority w:val="99"/>
    <w:semiHidden/>
    <w:rsid w:val="003825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31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53C8021-70B8-4E08-BC77-A7D66F23E04D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28159d3d-fc19-4e3e-971a-e06e6edaa332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TABINDA MAHMOOD</dc:creator>
  <cp:keywords/>
  <dc:description/>
  <cp:lastModifiedBy>TABINDA MAHMOOD</cp:lastModifiedBy>
  <cp:revision>6</cp:revision>
  <dcterms:created xsi:type="dcterms:W3CDTF">2026-05-23T18:19:00Z</dcterms:created>
  <dcterms:modified xsi:type="dcterms:W3CDTF">2026-05-30T17:26:00Z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41131efb-7f5a-4b7d-8140-51b6448d5ee0</vt:lpwstr>
  </property>
</Properties>
</file>