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3A48" w14:textId="77777777" w:rsidR="009F1F11" w:rsidRDefault="00000000">
      <w:pPr>
        <w:jc w:val="center"/>
      </w:pPr>
      <w:r>
        <w:rPr>
          <w:b/>
          <w:sz w:val="28"/>
        </w:rPr>
        <w:t>Teachers and Students' Perspectives on Quality Teaching and Learning of Basic Science Concepts in Remote High Schools in Papua New Guinea</w:t>
      </w:r>
    </w:p>
    <w:p w14:paraId="69F59CD1" w14:textId="77777777" w:rsidR="009F1F11" w:rsidRDefault="00000000">
      <w:pPr>
        <w:jc w:val="center"/>
      </w:pPr>
      <w:r>
        <w:t>Apolish Gumong</w:t>
      </w:r>
      <w:r>
        <w:br/>
        <w:t>Naruto University of Education, Japan</w:t>
      </w:r>
    </w:p>
    <w:p w14:paraId="0E8DF4C5" w14:textId="77777777" w:rsidR="009F1F11" w:rsidRDefault="009F1F11"/>
    <w:p w14:paraId="76F3D0D3" w14:textId="77777777" w:rsidR="009F1F11" w:rsidRDefault="00000000">
      <w:r>
        <w:rPr>
          <w:b/>
        </w:rPr>
        <w:t>Abstract</w:t>
      </w:r>
    </w:p>
    <w:p w14:paraId="6E69EB92" w14:textId="2B021C06" w:rsidR="00D062B1" w:rsidRDefault="00D062B1">
      <w:r w:rsidRPr="00D062B1">
        <w:t>Teaching and learning basic science concepts in remote Papua New Guinea (PNG) high schools face persistent challenges including limited resources, weak infrastructure, insufficient teacher support, and restricted practical learning opportunities. Despite national curriculum reforms emphasizing science knowledge, reasoning, and practical skills as essential for student development, implementation in remote schools remains constrained. This mixed methods case study investigated teachers' and students' perspectives on factors affecting quality science education in a remote high school in PNG. Data were collected through student surveys (n=160), semi-structured teacher interviews (n=6), and lesson observations (n=4) during August–September 2025. Quantitative data were analyzed using descriptive statistics, while qualitative data underwent thematic analysis. The three data sources were triangulated to answer research questions about factors affecting quality, their influence on practice, and stakeholder support strategies. Findings reveal that resource deprivation</w:t>
      </w:r>
      <w:r>
        <w:t xml:space="preserve">; </w:t>
      </w:r>
      <w:r w:rsidRPr="00D062B1">
        <w:t>absent textbooks, laboratories, ICT tools, and science materials</w:t>
      </w:r>
      <w:r>
        <w:t xml:space="preserve"> </w:t>
      </w:r>
      <w:r w:rsidRPr="00D062B1">
        <w:t>shape</w:t>
      </w:r>
      <w:r w:rsidRPr="00D062B1">
        <w:t xml:space="preserve"> every dimension of science education quality and </w:t>
      </w:r>
      <w:r w:rsidRPr="00D062B1">
        <w:t>represent</w:t>
      </w:r>
      <w:r w:rsidRPr="00D062B1">
        <w:t xml:space="preserve"> a systemic rather than incidental constraint. Resource and structural limitations push teachers toward theory-based, teacher-centered instruction with moderate student engagement and limited higher-order thinking opportunities. Despite high student motivation and teacher adaptability, current stakeholder support remains fragmented and insufficient. The study recommends coordinated systemic reform through four pillars: resource provision (textbooks, laboratories, ICT), teacher professional development (networks, training), strengthened home-school partnerships, and sustained government commitment. The findings provide empirical evidence for policymakers, school leaders, and donor organizations supporting rural science education in PNG and similar low-resource contexts across the Pacific region.</w:t>
      </w:r>
    </w:p>
    <w:p w14:paraId="30DDCD69" w14:textId="04EC0AE0" w:rsidR="009F1F11" w:rsidRDefault="00000000">
      <w:r>
        <w:rPr>
          <w:b/>
        </w:rPr>
        <w:t xml:space="preserve">Keywords: </w:t>
      </w:r>
      <w:r>
        <w:t xml:space="preserve">science education quality, remote schools, </w:t>
      </w:r>
      <w:r w:rsidR="00B73A51">
        <w:t>pedagogical content knowledge</w:t>
      </w:r>
      <w:r>
        <w:t xml:space="preserve">, </w:t>
      </w:r>
      <w:r w:rsidR="00B73A51">
        <w:t>science inquiry</w:t>
      </w:r>
      <w:r>
        <w:t>, basic science concepts</w:t>
      </w:r>
      <w:r w:rsidR="00B73A51">
        <w:t>.</w:t>
      </w:r>
    </w:p>
    <w:p w14:paraId="4018916D" w14:textId="4DF1EAE2" w:rsidR="009F1F11" w:rsidRDefault="00000000">
      <w:r>
        <w:rPr>
          <w:b/>
        </w:rPr>
        <w:t>Purpose and Objectives</w:t>
      </w:r>
    </w:p>
    <w:p w14:paraId="098FDAF1" w14:textId="77777777" w:rsidR="009F1F11" w:rsidRDefault="00000000">
      <w:r>
        <w:t xml:space="preserve">About 80% of Papua New Guinea's population lives in remote areas, making quality high school education difficult to access. Remote schools continue to face gaps in equity, </w:t>
      </w:r>
      <w:r>
        <w:lastRenderedPageBreak/>
        <w:t>infrastructure, and learning resources. Science teaching is often affected by limited materials, crowded classrooms, and weak support systems (Kukari, 2013). The Standards-Based Curriculum (SBC) introduced clearer science learning expectations, emphasizing that science knowledge, reasoning, and practical skills are essential for helping students understand the world around them and contribute to national development (Papua New Guinea Department of Education, 2018). However, in many remote schools, implementation remains difficult because materials and support are limited.</w:t>
      </w:r>
    </w:p>
    <w:p w14:paraId="6ECF08F1" w14:textId="77777777" w:rsidR="009F1F11" w:rsidRDefault="00000000">
      <w:r>
        <w:t>Basic science concepts build the foundation for scientific literacy and later science learning, support inquiry and problem-solving, reduce learning gaps in remote communities, and shape students' future study choices and career aspirations (Bybee, 2013; National Research Council, 2000). Despite policy commitments, there is limited empirical evidence showing how resource constraints, curriculum implementation gaps, and socio-cultural factors affect science education in specific rural schools.</w:t>
      </w:r>
    </w:p>
    <w:p w14:paraId="17970B00" w14:textId="77777777" w:rsidR="009F1F11" w:rsidRDefault="00000000">
      <w:r>
        <w:t>This study addresses this gap by investigating teachers and students perspectives on quality science teaching and learning in a remote PNG high school. The study had three objectives: (1) investigate teachers and students perspectives on factors affecting quality science teaching and learning; (2) examine how these factors influence classroom practice and student understanding; and (3) explore how stakeholder support can improve science learning in remote schools.</w:t>
      </w:r>
    </w:p>
    <w:p w14:paraId="188DC5CF" w14:textId="77777777" w:rsidR="009F1F11" w:rsidRDefault="00000000">
      <w:r>
        <w:t>Three research questions guided the study: (1) What factors significantly affect the quality of teaching and learning basic science concepts? (2) How do these factors influence teachers' teaching practices and students' learning? (3) How do stakeholders support science education, and what strategies can improve quality?</w:t>
      </w:r>
    </w:p>
    <w:p w14:paraId="11EA62A1" w14:textId="77777777" w:rsidR="009F1F11" w:rsidRDefault="00000000">
      <w:r>
        <w:rPr>
          <w:b/>
        </w:rPr>
        <w:t>Methodology and Approach</w:t>
      </w:r>
    </w:p>
    <w:p w14:paraId="67D67874" w14:textId="77777777" w:rsidR="009F1F11" w:rsidRDefault="00000000">
      <w:r>
        <w:t>This study employed a convergent parallel mixed methods design (Creswell &amp; Plano Clark, 2018). Quantitative and qualitative data were collected concurrently and analyzed separately, then triangulated to answer the research questions. The study was conducted at one remote high school in Papua New Guinea during August-September 2025.</w:t>
      </w:r>
    </w:p>
    <w:p w14:paraId="29D7DC4C" w14:textId="77777777" w:rsidR="009F1F11" w:rsidRDefault="00000000">
      <w:r>
        <w:rPr>
          <w:b/>
        </w:rPr>
        <w:t>Participants and Sampling</w:t>
      </w:r>
    </w:p>
    <w:p w14:paraId="592B2780" w14:textId="77777777" w:rsidR="009F1F11" w:rsidRDefault="00000000">
      <w:r>
        <w:t>The quantitative strand used stratified random sampling to select 160 students (80 from Grade 9 and 80 from Grade 10). The qualitative strand used purposive sampling to select six science teachers representing varying experience levels (novice, mid-level, and experienced) and four science lessons for observation.</w:t>
      </w:r>
    </w:p>
    <w:p w14:paraId="2C1D8453" w14:textId="77777777" w:rsidR="00D062B1" w:rsidRDefault="00D062B1">
      <w:pPr>
        <w:rPr>
          <w:b/>
        </w:rPr>
      </w:pPr>
    </w:p>
    <w:p w14:paraId="679735CF" w14:textId="0AF9CC41" w:rsidR="009F1F11" w:rsidRDefault="00000000">
      <w:r>
        <w:rPr>
          <w:b/>
        </w:rPr>
        <w:lastRenderedPageBreak/>
        <w:t>Data Collection</w:t>
      </w:r>
    </w:p>
    <w:p w14:paraId="2EF83E03" w14:textId="77777777" w:rsidR="009F1F11" w:rsidRDefault="00000000">
      <w:r>
        <w:t>Student surveys included 12 Likert-scale items (Items 1-12) covering classroom resources, laboratory facilities, learning environment, cultural influence, home support, motivation, understanding, teaching methods, relevance, engagement, continuation intentions, and career aspirations. Three open-ended questions (Q13-Q15) explored factors affecting learning, supports for learning, and stakeholder support. Semi-structured interviews with six teachers explored classroom challenges, teaching strategies, and support needs. Four science lessons were observed and evaluated on resources, pedagogy, engagement, assessment, and ICT use using a structured observation protocol.</w:t>
      </w:r>
    </w:p>
    <w:p w14:paraId="046FBD94" w14:textId="77777777" w:rsidR="009F1F11" w:rsidRDefault="00000000">
      <w:r>
        <w:rPr>
          <w:b/>
        </w:rPr>
        <w:t>Data Analysis</w:t>
      </w:r>
    </w:p>
    <w:p w14:paraId="4D062439" w14:textId="77777777" w:rsidR="00D062B1" w:rsidRDefault="00000000">
      <w:r>
        <w:t>Quantitative data were analyzed using descriptive statistics (frequencies, percentages, and means) organized in Excel. Qualitative data from teacher interviews were analyzed through thematic analysis (Braun &amp; Clarke, 2006), involving coding, clustering, theme development, and interpretation. Lesson observations were rated and compared across pedagogical dimensions. The three data sources were triangulated to identify convergent patterns and answer each research question (Denzin, 1978).</w:t>
      </w:r>
    </w:p>
    <w:p w14:paraId="1F5B0076" w14:textId="54CCB9F1" w:rsidR="009F1F11" w:rsidRDefault="00000000">
      <w:r>
        <w:rPr>
          <w:b/>
        </w:rPr>
        <w:t>Findings and Results</w:t>
      </w:r>
    </w:p>
    <w:p w14:paraId="012D80D8" w14:textId="77777777" w:rsidR="009F1F11" w:rsidRDefault="00000000">
      <w:r>
        <w:rPr>
          <w:b/>
        </w:rPr>
        <w:t>Research Question 1: What factors significantly affect the quality of teaching and learning?</w:t>
      </w:r>
    </w:p>
    <w:p w14:paraId="49B48701" w14:textId="77777777" w:rsidR="009F1F11" w:rsidRDefault="00000000">
      <w:r>
        <w:t>Student survey data (see Appendix A) revealed five major factors. Resource-related barriers were most prominent: students reported textbook shortages, absent science materials, and no functioning laboratories (Item 1: mixed views; Item 2: strong disagreement that labs and equipment exist). Limited practical learning emerged as a critical issue, with few hands-on activities and lessons mostly theory-based. Weak institutional support was evident through limited government and administrative investment. Socio-cultural influences included community beliefs and family factors shaping engagement with science (Item 4). Home support was inconsistent, with some students lacking resources and encouragement (Item 5).</w:t>
      </w:r>
    </w:p>
    <w:p w14:paraId="2DAC1578" w14:textId="77777777" w:rsidR="009F1F11" w:rsidRDefault="00000000">
      <w:r>
        <w:t xml:space="preserve">Teacher interviews confirmed these patterns and identified two consolidated themes (see Appendix B). First, resource constraints and instructional limitations: teachers noted that shortage of laboratories, ICT tools, textbooks, and science materials forces reliance on theory-based instruction, reducing practical and hands-on learning. As one mid-level teacher (ST1) explained, resource deprivation is systemic, compounded by a curriculum transition that left teachers improvising with personal devices and self-made handouts. Second, curriculum implementation gaps: an experienced teacher (ST6) stated, "The shift </w:t>
      </w:r>
      <w:r>
        <w:lastRenderedPageBreak/>
        <w:t>from OBE to Standards-Based Curriculum was not matched with adequate teaching and learning materials, creating a gap between policy expectations and classroom reality."</w:t>
      </w:r>
    </w:p>
    <w:p w14:paraId="3DC0754F" w14:textId="77777777" w:rsidR="009F1F11" w:rsidRDefault="00000000">
      <w:r>
        <w:t>Lesson observations provided direct evidence (see Appendix C). Across all four observed lessons (ST1, RP, IK, CP), no textbooks were available, aids were limited to charts and handouts, no lab equipment was present, and ICT was rated 1 (Needs Improvement) or absent. Practical activities were rated 1 in three lessons; only one outdoor lesson (IK) rated 3. Inquiry-based learning and critical thinking were rated 1-2 in most lessons, indicating weak development of higher-order thinking.</w:t>
      </w:r>
    </w:p>
    <w:p w14:paraId="1B6133F0" w14:textId="77777777" w:rsidR="009F1F11" w:rsidRDefault="00000000">
      <w:r>
        <w:t>In summary, resource shortages, limited practical activities, weak technology use, curriculum implementation gaps, socio-cultural influences, and modest higher-order thinking opportunities are the key limiting factors, confirmed across all three data sets.</w:t>
      </w:r>
    </w:p>
    <w:p w14:paraId="7B1248AA" w14:textId="77777777" w:rsidR="009F1F11" w:rsidRDefault="00000000">
      <w:r>
        <w:rPr>
          <w:b/>
        </w:rPr>
        <w:t>Research Question 2: How do these factors influence teaching practices and learning?</w:t>
      </w:r>
    </w:p>
    <w:p w14:paraId="077A90BB" w14:textId="77777777" w:rsidR="009F1F11" w:rsidRDefault="00000000">
      <w:r>
        <w:t>Student survey data showed that despite constraints, effective teaching methods continue to support learning (Items 6-10; see Appendix A). Very high motivation and enjoyment of science were reported (Item 6). Students generally understood lessons but noted room for improvement (Item 7). Open-ended responses (Q14) revealed that clear teacher explanations and dialogue, textbooks and handouts (critical substitutes for absent labs), group discussion and collaborative learning, practical learning activities, and peer and family support were the most frequently cited supports for learning.</w:t>
      </w:r>
    </w:p>
    <w:p w14:paraId="040F09DD" w14:textId="77777777" w:rsidR="009F1F11" w:rsidRDefault="00000000">
      <w:r>
        <w:t>Teacher interviews revealed pedagogical tensions and classroom pressures. Teachers value student-centered learning, but lack of science kits and textbooks limits effectiveness. A mid-level teacher (ST2) noted, "I engage students using both individual and group activities. Students participate and perform better during group activities." However, a novice teacher (ST4) explained, "These challenges slow down teaching and syllabus completion. Topics are postponed, increasing workload and pressure, leading to possible teacher burnout." An experienced teacher (ST3) added, "Managing large classes affects quality instruction. Limited time and resources make it difficult to support all learners effectively." These constraints are structural, not experience-dependent; experienced teachers face the same constraints.</w:t>
      </w:r>
    </w:p>
    <w:p w14:paraId="4FFA120A" w14:textId="77777777" w:rsidR="009F1F11" w:rsidRDefault="00000000">
      <w:r>
        <w:t xml:space="preserve">Lesson observations showed that resource and structural constraints push teachers toward theory-based, teacher-led instruction. Teachers ST1 and CP demonstrated strong content knowledge and clear structure but relied on board work. Teacher RP delivered clear but explanatory lessons with limited inquiry or group work. Student engagement was rated 2 (Satisfactory) in Grade 9 lessons; high engagement (rated 3) occurred only where practical or outdoor activities were used (IK, CP). Assessment was rated 2 in three </w:t>
      </w:r>
      <w:r>
        <w:lastRenderedPageBreak/>
        <w:t>lessons, indicating surface-level checking of recall rather than deeper understanding. Only teacher IK showed strong assessment supporting analytical thinking.</w:t>
      </w:r>
    </w:p>
    <w:p w14:paraId="4792F0A9" w14:textId="77777777" w:rsidR="009F1F11" w:rsidRDefault="00000000">
      <w:r>
        <w:t>Overall, resource and structural constraints restrict opportunities for hands-on learning and higher-order thinking, pushing teachers toward theory-based, teacher-centered instruction with moderate student engagement, even where student motivation is high.</w:t>
      </w:r>
    </w:p>
    <w:p w14:paraId="5EC948A2" w14:textId="7D14254E" w:rsidR="009F1F11" w:rsidRDefault="00000000">
      <w:r>
        <w:rPr>
          <w:b/>
        </w:rPr>
        <w:t>Research Question 3: How do stakeholders support science education, and what strategies can improve quality?</w:t>
      </w:r>
    </w:p>
    <w:p w14:paraId="6AF458B9" w14:textId="77777777" w:rsidR="009F1F11" w:rsidRDefault="00000000">
      <w:r>
        <w:t>Student survey data (Items 11, 12, and Q15) showed that stakeholder support is uneven but critical. Strong interest in continuing science studies into upper secondary (Item 11) and positive interest in science-related careers (Item 12) were reported. Open-ended responses (Q15) revealed that parents provide motivation and books where possible but support is inconsistent. Teacher support through direct classroom assistance remains the most consistent help. Joint home-school cooperation produces the strongest outcomes, but some students remain unsupported by any source. The most promising strategy is a joint home-school approach with stronger government involvement and more practical science opportunities.</w:t>
      </w:r>
    </w:p>
    <w:p w14:paraId="3AFCA44C" w14:textId="77777777" w:rsidR="009F1F11" w:rsidRDefault="00000000">
      <w:r>
        <w:t>Teacher interviews revealed stakeholder isolation and calls for systemic reform. A mid-level teacher (ST2) stated, "Support from school leaders and parents is limited. The government built one building, and parents contribute project fees, but support is insufficient." An experienced teacher (ST6) called for concrete multi-layered reforms: "Provide textbooks, laboratory equipment, ICT facilities, build classrooms and labs, create teacher networks, and subsidize mobile data." Teachers articulate a sense of isolation and emphasize that piecemeal interventions will be insufficient; systemic reform is needed.</w:t>
      </w:r>
    </w:p>
    <w:p w14:paraId="0937D174" w14:textId="77777777" w:rsidR="009F1F11" w:rsidRDefault="00000000">
      <w:r>
        <w:t>Lesson observations confirmed that current school- and system-level support is insufficient to provide even basic science resources. Repeated absence of textbooks and ICT, reliance on single charts or handouts, and teacher compensation through personal effort (charts, handouts, outdoor teaching) were observed across all lessons. However, one bright spot emerged: teacher IK's Biodiversity and Succession lesson used learner-centered, practical, outdoor activities and achieved the highest ratings for engagement and assessment despite no textbooks. This demonstrates that learner-centered, practical approaches improve engagement and learning even in resource-poor settings and provides a model to replicate.</w:t>
      </w:r>
    </w:p>
    <w:p w14:paraId="3D6AFA73" w14:textId="77777777" w:rsidR="009F1F11" w:rsidRDefault="00000000">
      <w:r>
        <w:t xml:space="preserve">In summary, current stakeholder support is limited in practice. Improving science teaching and learning will require coordinated action: resource provision (textbooks, labs, ICT), teacher professional development (networks, training), stronger parental and </w:t>
      </w:r>
      <w:r>
        <w:lastRenderedPageBreak/>
        <w:t>community engagement, and sustained government commitment (policy, funding, SBC support).</w:t>
      </w:r>
    </w:p>
    <w:p w14:paraId="4C16E72B" w14:textId="77777777" w:rsidR="009F1F11" w:rsidRDefault="00000000">
      <w:r>
        <w:rPr>
          <w:b/>
        </w:rPr>
        <w:t>Conclusion, Implications, and Recommendations</w:t>
      </w:r>
    </w:p>
    <w:p w14:paraId="25AF2AD9" w14:textId="3EE09863" w:rsidR="009F1F11" w:rsidRDefault="00000000">
      <w:r>
        <w:t>This study provides empirical evidence that resource deprivation</w:t>
      </w:r>
      <w:r w:rsidR="00C83162">
        <w:t xml:space="preserve"> </w:t>
      </w:r>
      <w:r>
        <w:t>absent textbooks, laboratories, ICT tools, and science materials</w:t>
      </w:r>
      <w:r w:rsidR="00C83162">
        <w:t xml:space="preserve"> </w:t>
      </w:r>
      <w:r>
        <w:t>shapes every dimension of science education quality in remote PNG high schools and forces theory-based, teacher-centered instruction, limiting opportunities for practical, inquiry-based, and higher-order thinking learning. Despite high student motivation and teacher commitment, structural constraints restrict educational outcomes.</w:t>
      </w:r>
    </w:p>
    <w:p w14:paraId="4C0B9296" w14:textId="77777777" w:rsidR="009F1F11" w:rsidRDefault="00000000">
      <w:r>
        <w:t>The findings have important implications for policymakers, school leaders, teachers, and donor organizations. First, curriculum reform efforts must be matched with adequate teaching and learning materials to bridge the gap between policy intentions and classroom reality. Second, professional development should emphasize learner-centered, practical, and context-based teaching strategies that can achieve strong outcomes even without conventional resources, as demonstrated by teacher IK's outdoor lesson. Third, stakeholder partnerships involving parents, school leaders, and community members must be strengthened to provide consistent support for students.</w:t>
      </w:r>
    </w:p>
    <w:p w14:paraId="73035077" w14:textId="77777777" w:rsidR="009F1F11" w:rsidRDefault="00000000">
      <w:r>
        <w:t>The study recommends a four-pillar approach to lasting improvement: (1) Resource provision: supply textbooks, build and equip laboratories, provide ICT tools and reliable internet access, and distribute science materials to remote schools. (2) Teacher development: establish teacher networks, provide ongoing professional development focused on practical pedagogy, and subsidize mobile data for digital collaboration. (3) Home-school partnerships: engage parents and community members in supporting science learning, create awareness of career opportunities in science, and mobilize local resources. (4) Government commitment: allocate sustained funding for rural science education, monitor SBC implementation, and coordinate donor support.</w:t>
      </w:r>
    </w:p>
    <w:p w14:paraId="6132EC79" w14:textId="77777777" w:rsidR="009F1F11" w:rsidRDefault="00000000">
      <w:r>
        <w:t>While this single case study cannot be generalized broadly, it provides valuable insights for understanding science education challenges in remote and low-resource settings in PNG and similar Pacific contexts. Future research should examine the effectiveness of learner-centered teaching strategies in multiple remote schools, explore the long-term impact of systemic reform interventions, and investigate how indigenous knowledge can be integrated into science teaching to enhance cultural relevance and student engagement.</w:t>
      </w:r>
    </w:p>
    <w:p w14:paraId="34ECAC35" w14:textId="4A3F1531" w:rsidR="009F1F11" w:rsidRDefault="00000000">
      <w:r>
        <w:br w:type="page"/>
      </w:r>
    </w:p>
    <w:p w14:paraId="7697497D" w14:textId="77777777" w:rsidR="009F1F11" w:rsidRDefault="00000000">
      <w:r>
        <w:rPr>
          <w:b/>
        </w:rPr>
        <w:lastRenderedPageBreak/>
        <w:t>References</w:t>
      </w:r>
    </w:p>
    <w:p w14:paraId="24EB3141" w14:textId="77777777" w:rsidR="009F1F11" w:rsidRDefault="00000000">
      <w:pPr>
        <w:ind w:left="720" w:hanging="720"/>
      </w:pPr>
      <w:r>
        <w:t>Aikenhead, G. S. (1996). Science education: Border crossing into the subculture of science. Studies in Science Education, 27(1), 1–52. https://doi.org/10.1080/03057269608560077</w:t>
      </w:r>
    </w:p>
    <w:p w14:paraId="6DCD535E" w14:textId="77777777" w:rsidR="009F1F11" w:rsidRDefault="00000000">
      <w:pPr>
        <w:ind w:left="720" w:hanging="720"/>
      </w:pPr>
      <w:r>
        <w:t>Braun, V., &amp; Clarke, V. (2006). Using thematic analysis in psychology. Qualitative Research in Psychology, 3(2), 77–101.</w:t>
      </w:r>
    </w:p>
    <w:p w14:paraId="7904254C" w14:textId="77777777" w:rsidR="009F1F11" w:rsidRDefault="00000000">
      <w:pPr>
        <w:ind w:left="720" w:hanging="720"/>
      </w:pPr>
      <w:r>
        <w:t>Bybee, R. W. (2013). The case for STEM education: Challenges and opportunities. NSTA Press.</w:t>
      </w:r>
    </w:p>
    <w:p w14:paraId="2F17C108" w14:textId="77777777" w:rsidR="009F1F11" w:rsidRDefault="00000000">
      <w:pPr>
        <w:ind w:left="720" w:hanging="720"/>
      </w:pPr>
      <w:r>
        <w:t>Creswell, J. W., &amp; Plano Clark, V. L. (2018). Designing and conducting mixed methods research (3rd ed.). SAGE Publications.</w:t>
      </w:r>
    </w:p>
    <w:p w14:paraId="3D552374" w14:textId="77777777" w:rsidR="009F1F11" w:rsidRDefault="00000000">
      <w:pPr>
        <w:ind w:left="720" w:hanging="720"/>
      </w:pPr>
      <w:r>
        <w:t>Darling-Hammond, L., &amp; Bransford, J. (Eds.). (2005). Preparing teachers for a changing world: What teachers should learn and be able to do. Jossey-Bass.</w:t>
      </w:r>
    </w:p>
    <w:p w14:paraId="063DE0ED" w14:textId="77777777" w:rsidR="009F1F11" w:rsidRDefault="00000000">
      <w:pPr>
        <w:ind w:left="720" w:hanging="720"/>
      </w:pPr>
      <w:r>
        <w:t>Denzin, N. K. (1978). The research act: A theoretical introduction to sociological methods. McGraw-Hill.</w:t>
      </w:r>
    </w:p>
    <w:p w14:paraId="0EEA9807" w14:textId="77777777" w:rsidR="009F1F11" w:rsidRDefault="00000000">
      <w:pPr>
        <w:ind w:left="720" w:hanging="720"/>
      </w:pPr>
      <w:r>
        <w:t>Hattie, J. (2009). Visible learning: A synthesis of over 800 meta-analyses relating to achievement. Routledge.</w:t>
      </w:r>
    </w:p>
    <w:p w14:paraId="58D6F34C" w14:textId="77777777" w:rsidR="009F1F11" w:rsidRDefault="00000000">
      <w:pPr>
        <w:ind w:left="720" w:hanging="720"/>
      </w:pPr>
      <w:r>
        <w:t>Knamiller, G. W. (1995). The effective teaching of science: Context, classroom and curriculum. In P. J. Fensham (Ed.), Developments and dilemmas in science education (pp. 140–163). Falmer Press.</w:t>
      </w:r>
    </w:p>
    <w:p w14:paraId="494091A3" w14:textId="77777777" w:rsidR="009F1F11" w:rsidRDefault="00000000">
      <w:pPr>
        <w:ind w:left="720" w:hanging="720"/>
      </w:pPr>
      <w:r>
        <w:t>Kukari, A. (Ed.). (2013). Universalizing basic education in Papua New Guinea: Experiences, lessons learnt, and interventions for achieving the goal of universal basic education. The National Research Institute.</w:t>
      </w:r>
    </w:p>
    <w:p w14:paraId="4D1FEAB0" w14:textId="77777777" w:rsidR="009F1F11" w:rsidRDefault="00000000">
      <w:pPr>
        <w:ind w:left="720" w:hanging="720"/>
      </w:pPr>
      <w:r>
        <w:t>Marzano, R. J. (2007). The art and science of teaching: A comprehensive framework for effective instruction. ASCD.</w:t>
      </w:r>
    </w:p>
    <w:p w14:paraId="5C7B3EEC" w14:textId="77777777" w:rsidR="009F1F11" w:rsidRDefault="00000000">
      <w:pPr>
        <w:ind w:left="720" w:hanging="720"/>
      </w:pPr>
      <w:r>
        <w:t>Minner, D. D., Levy, A. J., &amp; Century, J. (2010). Inquiry-based science instruction—What is it and does it matter? Results from a research synthesis years 1984 to 2002. Journal of Research in Science Teaching, 47(4), 474–496.</w:t>
      </w:r>
    </w:p>
    <w:p w14:paraId="7F29CD88" w14:textId="77777777" w:rsidR="009F1F11" w:rsidRDefault="00000000">
      <w:pPr>
        <w:ind w:left="720" w:hanging="720"/>
      </w:pPr>
      <w:r>
        <w:t>Najike, S. (2004). Contextualizing science education in Papua New Guinea: Using local knowledge to improve learning. Papua New Guinea Journal of Education, 40(1), 45–55.</w:t>
      </w:r>
    </w:p>
    <w:p w14:paraId="01BEC688" w14:textId="77777777" w:rsidR="009F1F11" w:rsidRDefault="00000000">
      <w:pPr>
        <w:ind w:left="720" w:hanging="720"/>
      </w:pPr>
      <w:r>
        <w:t>National Research Council. (2000). Inquiry and the national science education standards: A guide for teaching and learning. National Academies Press.</w:t>
      </w:r>
    </w:p>
    <w:p w14:paraId="0ED30715" w14:textId="77777777" w:rsidR="009F1F11" w:rsidRDefault="00000000">
      <w:pPr>
        <w:ind w:left="720" w:hanging="720"/>
      </w:pPr>
      <w:r>
        <w:lastRenderedPageBreak/>
        <w:t>National Research Council. (2012). A framework for K-12 science education: Practices, crosscutting concepts, and core ideas. National Academies Press.</w:t>
      </w:r>
    </w:p>
    <w:p w14:paraId="50C36288" w14:textId="77777777" w:rsidR="009F1F11" w:rsidRDefault="00000000">
      <w:pPr>
        <w:ind w:left="720" w:hanging="720"/>
      </w:pPr>
      <w:r>
        <w:t>Papua New Guinea Department of Education. (2018). Science syllabus: Grades 6, 7 &amp; 8 standards based. Papua New Guinea Department of Education.</w:t>
      </w:r>
    </w:p>
    <w:p w14:paraId="72A7EB32" w14:textId="77777777" w:rsidR="009F1F11" w:rsidRDefault="00000000">
      <w:pPr>
        <w:ind w:left="720" w:hanging="720"/>
      </w:pPr>
      <w:r>
        <w:t>Shulman, L. S. (1986). Those who understand: Knowledge growth in teaching. Educational Researcher, 15(2), 4–14.</w:t>
      </w:r>
    </w:p>
    <w:p w14:paraId="2EF6DDAB" w14:textId="77777777" w:rsidR="009F1F11" w:rsidRDefault="00000000">
      <w:pPr>
        <w:ind w:left="720" w:hanging="720"/>
      </w:pPr>
      <w:r>
        <w:t>Shulman, L. S. (1987). Knowledge and teaching: Foundations of the new reform. Harvard Educational Review, 57(1), 1–22.</w:t>
      </w:r>
    </w:p>
    <w:p w14:paraId="4FA2B061" w14:textId="77777777" w:rsidR="009F1F11" w:rsidRDefault="00000000">
      <w:pPr>
        <w:ind w:left="720" w:hanging="720"/>
      </w:pPr>
      <w:r>
        <w:t>UNESCO. (2017). Education for sustainable development goals: Learning objectives. UNESCO Publishing.</w:t>
      </w:r>
    </w:p>
    <w:p w14:paraId="2F55491D" w14:textId="77777777" w:rsidR="009F1F11" w:rsidRDefault="00000000">
      <w:r>
        <w:br w:type="page"/>
      </w:r>
    </w:p>
    <w:p w14:paraId="75E2A923" w14:textId="77777777" w:rsidR="009F1F11" w:rsidRDefault="00000000">
      <w:r>
        <w:rPr>
          <w:b/>
        </w:rPr>
        <w:lastRenderedPageBreak/>
        <w:t>Appendices</w:t>
      </w:r>
    </w:p>
    <w:p w14:paraId="137F881F" w14:textId="77777777" w:rsidR="009F1F11" w:rsidRDefault="00000000">
      <w:r>
        <w:rPr>
          <w:b/>
        </w:rPr>
        <w:t>Appendix A: Summary of Student Survey Results (n=160)</w:t>
      </w:r>
    </w:p>
    <w:tbl>
      <w:tblPr>
        <w:tblStyle w:val="LightGrid-Accent1"/>
        <w:tblW w:w="0" w:type="auto"/>
        <w:tblLook w:val="04A0" w:firstRow="1" w:lastRow="0" w:firstColumn="1" w:lastColumn="0" w:noHBand="0" w:noVBand="1"/>
      </w:tblPr>
      <w:tblGrid>
        <w:gridCol w:w="2873"/>
        <w:gridCol w:w="2873"/>
        <w:gridCol w:w="2874"/>
      </w:tblGrid>
      <w:tr w:rsidR="009F1F11" w14:paraId="464490BB" w14:textId="77777777" w:rsidTr="009F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E95D006" w14:textId="77777777" w:rsidR="009F1F11" w:rsidRDefault="00000000">
            <w:r>
              <w:t>Survey Item</w:t>
            </w:r>
          </w:p>
        </w:tc>
        <w:tc>
          <w:tcPr>
            <w:tcW w:w="2880" w:type="dxa"/>
          </w:tcPr>
          <w:p w14:paraId="745A49F2" w14:textId="77777777" w:rsidR="009F1F11" w:rsidRDefault="00000000">
            <w:pPr>
              <w:cnfStyle w:val="100000000000" w:firstRow="1" w:lastRow="0" w:firstColumn="0" w:lastColumn="0" w:oddVBand="0" w:evenVBand="0" w:oddHBand="0" w:evenHBand="0" w:firstRowFirstColumn="0" w:firstRowLastColumn="0" w:lastRowFirstColumn="0" w:lastRowLastColumn="0"/>
            </w:pPr>
            <w:r>
              <w:t>Key Finding</w:t>
            </w:r>
          </w:p>
        </w:tc>
        <w:tc>
          <w:tcPr>
            <w:tcW w:w="2880" w:type="dxa"/>
          </w:tcPr>
          <w:p w14:paraId="46D3CBF7" w14:textId="77777777" w:rsidR="009F1F11" w:rsidRDefault="00000000">
            <w:pPr>
              <w:cnfStyle w:val="100000000000" w:firstRow="1" w:lastRow="0" w:firstColumn="0" w:lastColumn="0" w:oddVBand="0" w:evenVBand="0" w:oddHBand="0" w:evenHBand="0" w:firstRowFirstColumn="0" w:firstRowLastColumn="0" w:lastRowFirstColumn="0" w:lastRowLastColumn="0"/>
            </w:pPr>
            <w:r>
              <w:t>Interpretation</w:t>
            </w:r>
          </w:p>
        </w:tc>
      </w:tr>
      <w:tr w:rsidR="009F1F11" w14:paraId="0D51F398"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F713325" w14:textId="77777777" w:rsidR="009F1F11" w:rsidRDefault="00000000">
            <w:r>
              <w:t>Item 1: Classroom Resources</w:t>
            </w:r>
          </w:p>
        </w:tc>
        <w:tc>
          <w:tcPr>
            <w:tcW w:w="2880" w:type="dxa"/>
          </w:tcPr>
          <w:p w14:paraId="44C3EAC8" w14:textId="77777777" w:rsidR="009F1F11" w:rsidRDefault="00000000">
            <w:pPr>
              <w:cnfStyle w:val="000000100000" w:firstRow="0" w:lastRow="0" w:firstColumn="0" w:lastColumn="0" w:oddVBand="0" w:evenVBand="0" w:oddHBand="1" w:evenHBand="0" w:firstRowFirstColumn="0" w:firstRowLastColumn="0" w:lastRowFirstColumn="0" w:lastRowLastColumn="0"/>
            </w:pPr>
            <w:r>
              <w:t>Mixed views; shortages reported</w:t>
            </w:r>
          </w:p>
        </w:tc>
        <w:tc>
          <w:tcPr>
            <w:tcW w:w="2880" w:type="dxa"/>
          </w:tcPr>
          <w:p w14:paraId="2B12DA6B" w14:textId="77777777" w:rsidR="009F1F11" w:rsidRDefault="00000000">
            <w:pPr>
              <w:cnfStyle w:val="000000100000" w:firstRow="0" w:lastRow="0" w:firstColumn="0" w:lastColumn="0" w:oddVBand="0" w:evenVBand="0" w:oddHBand="1" w:evenHBand="0" w:firstRowFirstColumn="0" w:firstRowLastColumn="0" w:lastRowFirstColumn="0" w:lastRowLastColumn="0"/>
            </w:pPr>
            <w:r>
              <w:t>Books and materials lacking</w:t>
            </w:r>
          </w:p>
        </w:tc>
      </w:tr>
      <w:tr w:rsidR="009F1F11" w14:paraId="16B89831"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BFAD4F4" w14:textId="77777777" w:rsidR="009F1F11" w:rsidRDefault="00000000">
            <w:r>
              <w:t>Item 2: Laboratory Facilities</w:t>
            </w:r>
          </w:p>
        </w:tc>
        <w:tc>
          <w:tcPr>
            <w:tcW w:w="2880" w:type="dxa"/>
          </w:tcPr>
          <w:p w14:paraId="00C85A1A" w14:textId="77777777" w:rsidR="009F1F11" w:rsidRDefault="00000000">
            <w:pPr>
              <w:cnfStyle w:val="000000010000" w:firstRow="0" w:lastRow="0" w:firstColumn="0" w:lastColumn="0" w:oddVBand="0" w:evenVBand="0" w:oddHBand="0" w:evenHBand="1" w:firstRowFirstColumn="0" w:firstRowLastColumn="0" w:lastRowFirstColumn="0" w:lastRowLastColumn="0"/>
            </w:pPr>
            <w:r>
              <w:t>Strong disagreement</w:t>
            </w:r>
          </w:p>
        </w:tc>
        <w:tc>
          <w:tcPr>
            <w:tcW w:w="2880" w:type="dxa"/>
          </w:tcPr>
          <w:p w14:paraId="21355989" w14:textId="77777777" w:rsidR="009F1F11" w:rsidRDefault="00000000">
            <w:pPr>
              <w:cnfStyle w:val="000000010000" w:firstRow="0" w:lastRow="0" w:firstColumn="0" w:lastColumn="0" w:oddVBand="0" w:evenVBand="0" w:oddHBand="0" w:evenHBand="1" w:firstRowFirstColumn="0" w:firstRowLastColumn="0" w:lastRowFirstColumn="0" w:lastRowLastColumn="0"/>
            </w:pPr>
            <w:r>
              <w:t>No working labs or equipment</w:t>
            </w:r>
          </w:p>
        </w:tc>
      </w:tr>
      <w:tr w:rsidR="009F1F11" w14:paraId="77481F4D"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2B3505A" w14:textId="77777777" w:rsidR="009F1F11" w:rsidRDefault="00000000">
            <w:r>
              <w:t>Item 3: Learning Environment</w:t>
            </w:r>
          </w:p>
        </w:tc>
        <w:tc>
          <w:tcPr>
            <w:tcW w:w="2880" w:type="dxa"/>
          </w:tcPr>
          <w:p w14:paraId="741E65E5" w14:textId="77777777" w:rsidR="009F1F11" w:rsidRDefault="00000000">
            <w:pPr>
              <w:cnfStyle w:val="000000100000" w:firstRow="0" w:lastRow="0" w:firstColumn="0" w:lastColumn="0" w:oddVBand="0" w:evenVBand="0" w:oddHBand="1" w:evenHBand="0" w:firstRowFirstColumn="0" w:firstRowLastColumn="0" w:lastRowFirstColumn="0" w:lastRowLastColumn="0"/>
            </w:pPr>
            <w:r>
              <w:t>Partly adequate</w:t>
            </w:r>
          </w:p>
        </w:tc>
        <w:tc>
          <w:tcPr>
            <w:tcW w:w="2880" w:type="dxa"/>
          </w:tcPr>
          <w:p w14:paraId="4D37F894" w14:textId="77777777" w:rsidR="009F1F11" w:rsidRDefault="00000000">
            <w:pPr>
              <w:cnfStyle w:val="000000100000" w:firstRow="0" w:lastRow="0" w:firstColumn="0" w:lastColumn="0" w:oddVBand="0" w:evenVBand="0" w:oddHBand="1" w:evenHBand="0" w:firstRowFirstColumn="0" w:firstRowLastColumn="0" w:lastRowFirstColumn="0" w:lastRowLastColumn="0"/>
            </w:pPr>
            <w:r>
              <w:t>Space and seating limited</w:t>
            </w:r>
          </w:p>
        </w:tc>
      </w:tr>
      <w:tr w:rsidR="009F1F11" w14:paraId="11D6EF8D"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4E5CF80" w14:textId="77777777" w:rsidR="009F1F11" w:rsidRDefault="00000000">
            <w:r>
              <w:t>Item 4: Cultural Influence</w:t>
            </w:r>
          </w:p>
        </w:tc>
        <w:tc>
          <w:tcPr>
            <w:tcW w:w="2880" w:type="dxa"/>
          </w:tcPr>
          <w:p w14:paraId="1F56252A" w14:textId="77777777" w:rsidR="009F1F11" w:rsidRDefault="00000000">
            <w:pPr>
              <w:cnfStyle w:val="000000010000" w:firstRow="0" w:lastRow="0" w:firstColumn="0" w:lastColumn="0" w:oddVBand="0" w:evenVBand="0" w:oddHBand="0" w:evenHBand="1" w:firstRowFirstColumn="0" w:firstRowLastColumn="0" w:lastRowFirstColumn="0" w:lastRowLastColumn="0"/>
            </w:pPr>
            <w:r>
              <w:t>Affects participation</w:t>
            </w:r>
          </w:p>
        </w:tc>
        <w:tc>
          <w:tcPr>
            <w:tcW w:w="2880" w:type="dxa"/>
          </w:tcPr>
          <w:p w14:paraId="46DC708F" w14:textId="77777777" w:rsidR="009F1F11" w:rsidRDefault="00000000">
            <w:pPr>
              <w:cnfStyle w:val="000000010000" w:firstRow="0" w:lastRow="0" w:firstColumn="0" w:lastColumn="0" w:oddVBand="0" w:evenVBand="0" w:oddHBand="0" w:evenHBand="1" w:firstRowFirstColumn="0" w:firstRowLastColumn="0" w:lastRowFirstColumn="0" w:lastRowLastColumn="0"/>
            </w:pPr>
            <w:r>
              <w:t>Beliefs shape engagement</w:t>
            </w:r>
          </w:p>
        </w:tc>
      </w:tr>
      <w:tr w:rsidR="009F1F11" w14:paraId="23AD35F8"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DB0A047" w14:textId="77777777" w:rsidR="009F1F11" w:rsidRDefault="00000000">
            <w:r>
              <w:t>Item 5: Home Support</w:t>
            </w:r>
          </w:p>
        </w:tc>
        <w:tc>
          <w:tcPr>
            <w:tcW w:w="2880" w:type="dxa"/>
          </w:tcPr>
          <w:p w14:paraId="7C01BC80" w14:textId="77777777" w:rsidR="009F1F11" w:rsidRDefault="00000000">
            <w:pPr>
              <w:cnfStyle w:val="000000100000" w:firstRow="0" w:lastRow="0" w:firstColumn="0" w:lastColumn="0" w:oddVBand="0" w:evenVBand="0" w:oddHBand="1" w:evenHBand="0" w:firstRowFirstColumn="0" w:firstRowLastColumn="0" w:lastRowFirstColumn="0" w:lastRowLastColumn="0"/>
            </w:pPr>
            <w:r>
              <w:t>Inconsistent</w:t>
            </w:r>
          </w:p>
        </w:tc>
        <w:tc>
          <w:tcPr>
            <w:tcW w:w="2880" w:type="dxa"/>
          </w:tcPr>
          <w:p w14:paraId="69A96C50" w14:textId="77777777" w:rsidR="009F1F11" w:rsidRDefault="00000000">
            <w:pPr>
              <w:cnfStyle w:val="000000100000" w:firstRow="0" w:lastRow="0" w:firstColumn="0" w:lastColumn="0" w:oddVBand="0" w:evenVBand="0" w:oddHBand="1" w:evenHBand="0" w:firstRowFirstColumn="0" w:firstRowLastColumn="0" w:lastRowFirstColumn="0" w:lastRowLastColumn="0"/>
            </w:pPr>
            <w:r>
              <w:t>Some students unsupported</w:t>
            </w:r>
          </w:p>
        </w:tc>
      </w:tr>
      <w:tr w:rsidR="009F1F11" w14:paraId="79A566F9"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6FC3D11" w14:textId="77777777" w:rsidR="009F1F11" w:rsidRDefault="00000000">
            <w:r>
              <w:t>Item 6: Motivation</w:t>
            </w:r>
          </w:p>
        </w:tc>
        <w:tc>
          <w:tcPr>
            <w:tcW w:w="2880" w:type="dxa"/>
          </w:tcPr>
          <w:p w14:paraId="55BF8413" w14:textId="77777777" w:rsidR="009F1F11" w:rsidRDefault="00000000">
            <w:pPr>
              <w:cnfStyle w:val="000000010000" w:firstRow="0" w:lastRow="0" w:firstColumn="0" w:lastColumn="0" w:oddVBand="0" w:evenVBand="0" w:oddHBand="0" w:evenHBand="1" w:firstRowFirstColumn="0" w:firstRowLastColumn="0" w:lastRowFirstColumn="0" w:lastRowLastColumn="0"/>
            </w:pPr>
            <w:r>
              <w:t>Very high</w:t>
            </w:r>
          </w:p>
        </w:tc>
        <w:tc>
          <w:tcPr>
            <w:tcW w:w="2880" w:type="dxa"/>
          </w:tcPr>
          <w:p w14:paraId="2F3AB102" w14:textId="77777777" w:rsidR="009F1F11" w:rsidRDefault="00000000">
            <w:pPr>
              <w:cnfStyle w:val="000000010000" w:firstRow="0" w:lastRow="0" w:firstColumn="0" w:lastColumn="0" w:oddVBand="0" w:evenVBand="0" w:oddHBand="0" w:evenHBand="1" w:firstRowFirstColumn="0" w:firstRowLastColumn="0" w:lastRowFirstColumn="0" w:lastRowLastColumn="0"/>
            </w:pPr>
            <w:r>
              <w:t>Students enjoy science</w:t>
            </w:r>
          </w:p>
        </w:tc>
      </w:tr>
      <w:tr w:rsidR="009F1F11" w14:paraId="57867CDE"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96C6913" w14:textId="77777777" w:rsidR="009F1F11" w:rsidRDefault="00000000">
            <w:r>
              <w:t>Item 7: Understanding</w:t>
            </w:r>
          </w:p>
        </w:tc>
        <w:tc>
          <w:tcPr>
            <w:tcW w:w="2880" w:type="dxa"/>
          </w:tcPr>
          <w:p w14:paraId="2F07D93E" w14:textId="77777777" w:rsidR="009F1F11" w:rsidRDefault="00000000">
            <w:pPr>
              <w:cnfStyle w:val="000000100000" w:firstRow="0" w:lastRow="0" w:firstColumn="0" w:lastColumn="0" w:oddVBand="0" w:evenVBand="0" w:oddHBand="1" w:evenHBand="0" w:firstRowFirstColumn="0" w:firstRowLastColumn="0" w:lastRowFirstColumn="0" w:lastRowLastColumn="0"/>
            </w:pPr>
            <w:r>
              <w:t>Generally good</w:t>
            </w:r>
          </w:p>
        </w:tc>
        <w:tc>
          <w:tcPr>
            <w:tcW w:w="2880" w:type="dxa"/>
          </w:tcPr>
          <w:p w14:paraId="5B25E31C" w14:textId="77777777" w:rsidR="009F1F11" w:rsidRDefault="00000000">
            <w:pPr>
              <w:cnfStyle w:val="000000100000" w:firstRow="0" w:lastRow="0" w:firstColumn="0" w:lastColumn="0" w:oddVBand="0" w:evenVBand="0" w:oddHBand="1" w:evenHBand="0" w:firstRowFirstColumn="0" w:firstRowLastColumn="0" w:lastRowFirstColumn="0" w:lastRowLastColumn="0"/>
            </w:pPr>
            <w:r>
              <w:t>Room for improvement</w:t>
            </w:r>
          </w:p>
        </w:tc>
      </w:tr>
      <w:tr w:rsidR="009F1F11" w14:paraId="3E367CE4"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D71265D" w14:textId="77777777" w:rsidR="009F1F11" w:rsidRDefault="00000000">
            <w:r>
              <w:t>Item 8: Teaching Methods</w:t>
            </w:r>
          </w:p>
        </w:tc>
        <w:tc>
          <w:tcPr>
            <w:tcW w:w="2880" w:type="dxa"/>
          </w:tcPr>
          <w:p w14:paraId="58D9B632" w14:textId="77777777" w:rsidR="009F1F11" w:rsidRDefault="00000000">
            <w:pPr>
              <w:cnfStyle w:val="000000010000" w:firstRow="0" w:lastRow="0" w:firstColumn="0" w:lastColumn="0" w:oddVBand="0" w:evenVBand="0" w:oddHBand="0" w:evenHBand="1" w:firstRowFirstColumn="0" w:firstRowLastColumn="0" w:lastRowFirstColumn="0" w:lastRowLastColumn="0"/>
            </w:pPr>
            <w:r>
              <w:t>Adapted with handouts</w:t>
            </w:r>
          </w:p>
        </w:tc>
        <w:tc>
          <w:tcPr>
            <w:tcW w:w="2880" w:type="dxa"/>
          </w:tcPr>
          <w:p w14:paraId="332F7208" w14:textId="77777777" w:rsidR="009F1F11" w:rsidRDefault="00000000">
            <w:pPr>
              <w:cnfStyle w:val="000000010000" w:firstRow="0" w:lastRow="0" w:firstColumn="0" w:lastColumn="0" w:oddVBand="0" w:evenVBand="0" w:oddHBand="0" w:evenHBand="1" w:firstRowFirstColumn="0" w:firstRowLastColumn="0" w:lastRowFirstColumn="0" w:lastRowLastColumn="0"/>
            </w:pPr>
            <w:r>
              <w:t>Substitutes for lab resources</w:t>
            </w:r>
          </w:p>
        </w:tc>
      </w:tr>
      <w:tr w:rsidR="009F1F11" w14:paraId="137715E4"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B620474" w14:textId="77777777" w:rsidR="009F1F11" w:rsidRDefault="00000000">
            <w:r>
              <w:t>Item 9: Relevance</w:t>
            </w:r>
          </w:p>
        </w:tc>
        <w:tc>
          <w:tcPr>
            <w:tcW w:w="2880" w:type="dxa"/>
          </w:tcPr>
          <w:p w14:paraId="0A51B6E0" w14:textId="77777777" w:rsidR="009F1F11" w:rsidRDefault="00000000">
            <w:pPr>
              <w:cnfStyle w:val="000000100000" w:firstRow="0" w:lastRow="0" w:firstColumn="0" w:lastColumn="0" w:oddVBand="0" w:evenVBand="0" w:oddHBand="1" w:evenHBand="0" w:firstRowFirstColumn="0" w:firstRowLastColumn="0" w:lastRowFirstColumn="0" w:lastRowLastColumn="0"/>
            </w:pPr>
            <w:r>
              <w:t>Relevant but limited skills</w:t>
            </w:r>
          </w:p>
        </w:tc>
        <w:tc>
          <w:tcPr>
            <w:tcW w:w="2880" w:type="dxa"/>
          </w:tcPr>
          <w:p w14:paraId="7BE175F4" w14:textId="77777777" w:rsidR="009F1F11" w:rsidRDefault="00000000">
            <w:pPr>
              <w:cnfStyle w:val="000000100000" w:firstRow="0" w:lastRow="0" w:firstColumn="0" w:lastColumn="0" w:oddVBand="0" w:evenVBand="0" w:oddHBand="1" w:evenHBand="0" w:firstRowFirstColumn="0" w:firstRowLastColumn="0" w:lastRowFirstColumn="0" w:lastRowLastColumn="0"/>
            </w:pPr>
            <w:r>
              <w:t>Need more application</w:t>
            </w:r>
          </w:p>
        </w:tc>
      </w:tr>
      <w:tr w:rsidR="009F1F11" w14:paraId="3CF1862C"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A8F963B" w14:textId="77777777" w:rsidR="009F1F11" w:rsidRDefault="00000000">
            <w:r>
              <w:t>Item 10: Engagement</w:t>
            </w:r>
          </w:p>
        </w:tc>
        <w:tc>
          <w:tcPr>
            <w:tcW w:w="2880" w:type="dxa"/>
          </w:tcPr>
          <w:p w14:paraId="51833D6F" w14:textId="77777777" w:rsidR="009F1F11" w:rsidRDefault="00000000">
            <w:pPr>
              <w:cnfStyle w:val="000000010000" w:firstRow="0" w:lastRow="0" w:firstColumn="0" w:lastColumn="0" w:oddVBand="0" w:evenVBand="0" w:oddHBand="0" w:evenHBand="1" w:firstRowFirstColumn="0" w:firstRowLastColumn="0" w:lastRowFirstColumn="0" w:lastRowLastColumn="0"/>
            </w:pPr>
            <w:r>
              <w:t>Active but needs more hands-on</w:t>
            </w:r>
          </w:p>
        </w:tc>
        <w:tc>
          <w:tcPr>
            <w:tcW w:w="2880" w:type="dxa"/>
          </w:tcPr>
          <w:p w14:paraId="32D8A9A9" w14:textId="77777777" w:rsidR="009F1F11" w:rsidRDefault="00000000">
            <w:pPr>
              <w:cnfStyle w:val="000000010000" w:firstRow="0" w:lastRow="0" w:firstColumn="0" w:lastColumn="0" w:oddVBand="0" w:evenVBand="0" w:oddHBand="0" w:evenHBand="1" w:firstRowFirstColumn="0" w:firstRowLastColumn="0" w:lastRowFirstColumn="0" w:lastRowLastColumn="0"/>
            </w:pPr>
            <w:r>
              <w:t>Deeper understanding requires activities</w:t>
            </w:r>
          </w:p>
        </w:tc>
      </w:tr>
      <w:tr w:rsidR="009F1F11" w14:paraId="6DBB6359"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8B50E4B" w14:textId="77777777" w:rsidR="009F1F11" w:rsidRDefault="00000000">
            <w:r>
              <w:t>Item 11: Continue Science Gr 11-12</w:t>
            </w:r>
          </w:p>
        </w:tc>
        <w:tc>
          <w:tcPr>
            <w:tcW w:w="2880" w:type="dxa"/>
          </w:tcPr>
          <w:p w14:paraId="74F21195" w14:textId="77777777" w:rsidR="009F1F11" w:rsidRDefault="00000000">
            <w:pPr>
              <w:cnfStyle w:val="000000100000" w:firstRow="0" w:lastRow="0" w:firstColumn="0" w:lastColumn="0" w:oddVBand="0" w:evenVBand="0" w:oddHBand="1" w:evenHBand="0" w:firstRowFirstColumn="0" w:firstRowLastColumn="0" w:lastRowFirstColumn="0" w:lastRowLastColumn="0"/>
            </w:pPr>
            <w:r>
              <w:t>Strong interest</w:t>
            </w:r>
          </w:p>
        </w:tc>
        <w:tc>
          <w:tcPr>
            <w:tcW w:w="2880" w:type="dxa"/>
          </w:tcPr>
          <w:p w14:paraId="05998621" w14:textId="77777777" w:rsidR="009F1F11" w:rsidRDefault="00000000">
            <w:pPr>
              <w:cnfStyle w:val="000000100000" w:firstRow="0" w:lastRow="0" w:firstColumn="0" w:lastColumn="0" w:oddVBand="0" w:evenVBand="0" w:oddHBand="1" w:evenHBand="0" w:firstRowFirstColumn="0" w:firstRowLastColumn="0" w:lastRowFirstColumn="0" w:lastRowLastColumn="0"/>
            </w:pPr>
            <w:r>
              <w:t>High continuation intention</w:t>
            </w:r>
          </w:p>
        </w:tc>
      </w:tr>
      <w:tr w:rsidR="009F1F11" w14:paraId="40F781DC"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8DF327C" w14:textId="77777777" w:rsidR="009F1F11" w:rsidRDefault="00000000">
            <w:r>
              <w:t>Item 12: Career Aspirations</w:t>
            </w:r>
          </w:p>
        </w:tc>
        <w:tc>
          <w:tcPr>
            <w:tcW w:w="2880" w:type="dxa"/>
          </w:tcPr>
          <w:p w14:paraId="35A0A147" w14:textId="77777777" w:rsidR="009F1F11" w:rsidRDefault="00000000">
            <w:pPr>
              <w:cnfStyle w:val="000000010000" w:firstRow="0" w:lastRow="0" w:firstColumn="0" w:lastColumn="0" w:oddVBand="0" w:evenVBand="0" w:oddHBand="0" w:evenHBand="1" w:firstRowFirstColumn="0" w:firstRowLastColumn="0" w:lastRowFirstColumn="0" w:lastRowLastColumn="0"/>
            </w:pPr>
            <w:r>
              <w:t>Positive interest</w:t>
            </w:r>
          </w:p>
        </w:tc>
        <w:tc>
          <w:tcPr>
            <w:tcW w:w="2880" w:type="dxa"/>
          </w:tcPr>
          <w:p w14:paraId="6E57FFA6" w14:textId="77777777" w:rsidR="009F1F11" w:rsidRDefault="00000000">
            <w:pPr>
              <w:cnfStyle w:val="000000010000" w:firstRow="0" w:lastRow="0" w:firstColumn="0" w:lastColumn="0" w:oddVBand="0" w:evenVBand="0" w:oddHBand="0" w:evenHBand="1" w:firstRowFirstColumn="0" w:firstRowLastColumn="0" w:lastRowFirstColumn="0" w:lastRowLastColumn="0"/>
            </w:pPr>
            <w:r>
              <w:t>Science-related careers valued</w:t>
            </w:r>
          </w:p>
        </w:tc>
      </w:tr>
    </w:tbl>
    <w:p w14:paraId="723DA6D1" w14:textId="77777777" w:rsidR="009F1F11" w:rsidRDefault="009F1F11"/>
    <w:p w14:paraId="42358E38" w14:textId="77777777" w:rsidR="009F1F11" w:rsidRDefault="00000000">
      <w:r>
        <w:rPr>
          <w:b/>
        </w:rPr>
        <w:t>Appendix B: Summary of Teacher Interview Themes (n=6)</w:t>
      </w:r>
    </w:p>
    <w:tbl>
      <w:tblPr>
        <w:tblStyle w:val="LightGrid-Accent1"/>
        <w:tblW w:w="0" w:type="auto"/>
        <w:tblLook w:val="04A0" w:firstRow="1" w:lastRow="0" w:firstColumn="1" w:lastColumn="0" w:noHBand="0" w:noVBand="1"/>
      </w:tblPr>
      <w:tblGrid>
        <w:gridCol w:w="2874"/>
        <w:gridCol w:w="2872"/>
        <w:gridCol w:w="2874"/>
      </w:tblGrid>
      <w:tr w:rsidR="009F1F11" w14:paraId="3E003F73" w14:textId="77777777" w:rsidTr="009F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B9DE292" w14:textId="77777777" w:rsidR="009F1F11" w:rsidRDefault="00000000">
            <w:r>
              <w:t>Theme</w:t>
            </w:r>
          </w:p>
        </w:tc>
        <w:tc>
          <w:tcPr>
            <w:tcW w:w="2880" w:type="dxa"/>
          </w:tcPr>
          <w:p w14:paraId="1309C7EB" w14:textId="77777777" w:rsidR="009F1F11" w:rsidRDefault="00000000">
            <w:pPr>
              <w:cnfStyle w:val="100000000000" w:firstRow="1" w:lastRow="0" w:firstColumn="0" w:lastColumn="0" w:oddVBand="0" w:evenVBand="0" w:oddHBand="0" w:evenHBand="0" w:firstRowFirstColumn="0" w:firstRowLastColumn="0" w:lastRowFirstColumn="0" w:lastRowLastColumn="0"/>
            </w:pPr>
            <w:r>
              <w:t>Key Evidence</w:t>
            </w:r>
          </w:p>
        </w:tc>
        <w:tc>
          <w:tcPr>
            <w:tcW w:w="2880" w:type="dxa"/>
          </w:tcPr>
          <w:p w14:paraId="794743C8" w14:textId="77777777" w:rsidR="009F1F11" w:rsidRDefault="00000000">
            <w:pPr>
              <w:cnfStyle w:val="100000000000" w:firstRow="1" w:lastRow="0" w:firstColumn="0" w:lastColumn="0" w:oddVBand="0" w:evenVBand="0" w:oddHBand="0" w:evenHBand="0" w:firstRowFirstColumn="0" w:firstRowLastColumn="0" w:lastRowFirstColumn="0" w:lastRowLastColumn="0"/>
            </w:pPr>
            <w:r>
              <w:t>Teacher Quote Example</w:t>
            </w:r>
          </w:p>
        </w:tc>
      </w:tr>
      <w:tr w:rsidR="009F1F11" w14:paraId="3C9EC77F"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A8EF8EB" w14:textId="77777777" w:rsidR="009F1F11" w:rsidRDefault="00000000">
            <w:r>
              <w:t>Resource Constraints &amp; Instructional Limitations</w:t>
            </w:r>
          </w:p>
        </w:tc>
        <w:tc>
          <w:tcPr>
            <w:tcW w:w="2880" w:type="dxa"/>
          </w:tcPr>
          <w:p w14:paraId="49F0168D" w14:textId="77777777" w:rsidR="009F1F11" w:rsidRDefault="00000000">
            <w:pPr>
              <w:cnfStyle w:val="000000100000" w:firstRow="0" w:lastRow="0" w:firstColumn="0" w:lastColumn="0" w:oddVBand="0" w:evenVBand="0" w:oddHBand="1" w:evenHBand="0" w:firstRowFirstColumn="0" w:firstRowLastColumn="0" w:lastRowFirstColumn="0" w:lastRowLastColumn="0"/>
            </w:pPr>
            <w:r>
              <w:t>Shortage of labs, ICT, textbooks, science materials forces theory-based instruction</w:t>
            </w:r>
          </w:p>
        </w:tc>
        <w:tc>
          <w:tcPr>
            <w:tcW w:w="2880" w:type="dxa"/>
          </w:tcPr>
          <w:p w14:paraId="1A9E0E7E" w14:textId="77777777" w:rsidR="009F1F11" w:rsidRDefault="00000000">
            <w:pPr>
              <w:cnfStyle w:val="000000100000" w:firstRow="0" w:lastRow="0" w:firstColumn="0" w:lastColumn="0" w:oddVBand="0" w:evenVBand="0" w:oddHBand="1" w:evenHBand="0" w:firstRowFirstColumn="0" w:firstRowLastColumn="0" w:lastRowFirstColumn="0" w:lastRowLastColumn="0"/>
            </w:pPr>
            <w:r>
              <w:t>ST1 (Mid-level): "Resource deprivation is systemic, teachers improvise with personal devices and handouts"</w:t>
            </w:r>
          </w:p>
        </w:tc>
      </w:tr>
      <w:tr w:rsidR="009F1F11" w14:paraId="3FA20822"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258372B" w14:textId="77777777" w:rsidR="009F1F11" w:rsidRDefault="00000000">
            <w:r>
              <w:t>Curriculum Implementation Gaps</w:t>
            </w:r>
          </w:p>
        </w:tc>
        <w:tc>
          <w:tcPr>
            <w:tcW w:w="2880" w:type="dxa"/>
          </w:tcPr>
          <w:p w14:paraId="7D4932E7" w14:textId="77777777" w:rsidR="009F1F11" w:rsidRDefault="00000000">
            <w:pPr>
              <w:cnfStyle w:val="000000010000" w:firstRow="0" w:lastRow="0" w:firstColumn="0" w:lastColumn="0" w:oddVBand="0" w:evenVBand="0" w:oddHBand="0" w:evenHBand="1" w:firstRowFirstColumn="0" w:firstRowLastColumn="0" w:lastRowFirstColumn="0" w:lastRowLastColumn="0"/>
            </w:pPr>
            <w:r>
              <w:t>Shift from OBE to SBC not matched with materials; gap between policy and reality</w:t>
            </w:r>
          </w:p>
        </w:tc>
        <w:tc>
          <w:tcPr>
            <w:tcW w:w="2880" w:type="dxa"/>
          </w:tcPr>
          <w:p w14:paraId="7C32B04A" w14:textId="77777777" w:rsidR="009F1F11" w:rsidRDefault="00000000">
            <w:pPr>
              <w:cnfStyle w:val="000000010000" w:firstRow="0" w:lastRow="0" w:firstColumn="0" w:lastColumn="0" w:oddVBand="0" w:evenVBand="0" w:oddHBand="0" w:evenHBand="1" w:firstRowFirstColumn="0" w:firstRowLastColumn="0" w:lastRowFirstColumn="0" w:lastRowLastColumn="0"/>
            </w:pPr>
            <w:r>
              <w:t>ST6 (Experienced): "The shift was not matched with adequate materials, creating a gap between policy and classroom reality"</w:t>
            </w:r>
          </w:p>
        </w:tc>
      </w:tr>
    </w:tbl>
    <w:p w14:paraId="461EE6EE" w14:textId="77777777" w:rsidR="009F1F11" w:rsidRDefault="00000000">
      <w:r>
        <w:br w:type="page"/>
      </w:r>
    </w:p>
    <w:p w14:paraId="2A8E057D" w14:textId="77777777" w:rsidR="009F1F11" w:rsidRDefault="00000000">
      <w:r>
        <w:rPr>
          <w:b/>
        </w:rPr>
        <w:lastRenderedPageBreak/>
        <w:t>Appendix C: Summary of Lesson Observation Ratings (n=4)</w:t>
      </w:r>
    </w:p>
    <w:tbl>
      <w:tblPr>
        <w:tblStyle w:val="LightGrid-Accent1"/>
        <w:tblW w:w="0" w:type="auto"/>
        <w:tblLook w:val="04A0" w:firstRow="1" w:lastRow="0" w:firstColumn="1" w:lastColumn="0" w:noHBand="0" w:noVBand="1"/>
      </w:tblPr>
      <w:tblGrid>
        <w:gridCol w:w="2874"/>
        <w:gridCol w:w="2872"/>
        <w:gridCol w:w="2874"/>
      </w:tblGrid>
      <w:tr w:rsidR="009F1F11" w14:paraId="425E5E77" w14:textId="77777777" w:rsidTr="009F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5755BC3" w14:textId="77777777" w:rsidR="009F1F11" w:rsidRDefault="00000000">
            <w:r>
              <w:t>Observation Aspect</w:t>
            </w:r>
          </w:p>
        </w:tc>
        <w:tc>
          <w:tcPr>
            <w:tcW w:w="2880" w:type="dxa"/>
          </w:tcPr>
          <w:p w14:paraId="224E0908" w14:textId="77777777" w:rsidR="009F1F11" w:rsidRDefault="00000000">
            <w:pPr>
              <w:cnfStyle w:val="100000000000" w:firstRow="1" w:lastRow="0" w:firstColumn="0" w:lastColumn="0" w:oddVBand="0" w:evenVBand="0" w:oddHBand="0" w:evenHBand="0" w:firstRowFirstColumn="0" w:firstRowLastColumn="0" w:lastRowFirstColumn="0" w:lastRowLastColumn="0"/>
            </w:pPr>
            <w:r>
              <w:t>Rating Pattern Across Lessons</w:t>
            </w:r>
          </w:p>
        </w:tc>
        <w:tc>
          <w:tcPr>
            <w:tcW w:w="2880" w:type="dxa"/>
          </w:tcPr>
          <w:p w14:paraId="26BD2C6F" w14:textId="77777777" w:rsidR="009F1F11" w:rsidRDefault="00000000">
            <w:pPr>
              <w:cnfStyle w:val="100000000000" w:firstRow="1" w:lastRow="0" w:firstColumn="0" w:lastColumn="0" w:oddVBand="0" w:evenVBand="0" w:oddHBand="0" w:evenHBand="0" w:firstRowFirstColumn="0" w:firstRowLastColumn="0" w:lastRowFirstColumn="0" w:lastRowLastColumn="0"/>
            </w:pPr>
            <w:r>
              <w:t>Interpretation</w:t>
            </w:r>
          </w:p>
        </w:tc>
      </w:tr>
      <w:tr w:rsidR="009F1F11" w14:paraId="7A8CBF6B"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95AC14A" w14:textId="77777777" w:rsidR="009F1F11" w:rsidRDefault="00000000">
            <w:r>
              <w:t>Resource Availability</w:t>
            </w:r>
          </w:p>
        </w:tc>
        <w:tc>
          <w:tcPr>
            <w:tcW w:w="2880" w:type="dxa"/>
          </w:tcPr>
          <w:p w14:paraId="69B6075A" w14:textId="77777777" w:rsidR="009F1F11" w:rsidRDefault="00000000">
            <w:pPr>
              <w:cnfStyle w:val="000000100000" w:firstRow="0" w:lastRow="0" w:firstColumn="0" w:lastColumn="0" w:oddVBand="0" w:evenVBand="0" w:oddHBand="1" w:evenHBand="0" w:firstRowFirstColumn="0" w:firstRowLastColumn="0" w:lastRowFirstColumn="0" w:lastRowLastColumn="0"/>
            </w:pPr>
            <w:r>
              <w:t>No textbooks in all 4 lessons; ICT rated 1 or absent</w:t>
            </w:r>
          </w:p>
        </w:tc>
        <w:tc>
          <w:tcPr>
            <w:tcW w:w="2880" w:type="dxa"/>
          </w:tcPr>
          <w:p w14:paraId="0744EEE0" w14:textId="77777777" w:rsidR="009F1F11" w:rsidRDefault="00000000">
            <w:pPr>
              <w:cnfStyle w:val="000000100000" w:firstRow="0" w:lastRow="0" w:firstColumn="0" w:lastColumn="0" w:oddVBand="0" w:evenVBand="0" w:oddHBand="1" w:evenHBand="0" w:firstRowFirstColumn="0" w:firstRowLastColumn="0" w:lastRowFirstColumn="0" w:lastRowLastColumn="0"/>
            </w:pPr>
            <w:r>
              <w:t>Severe resource constraints</w:t>
            </w:r>
          </w:p>
        </w:tc>
      </w:tr>
      <w:tr w:rsidR="009F1F11" w14:paraId="07404C14"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49866FB" w14:textId="77777777" w:rsidR="009F1F11" w:rsidRDefault="00000000">
            <w:r>
              <w:t>Practical Activities</w:t>
            </w:r>
          </w:p>
        </w:tc>
        <w:tc>
          <w:tcPr>
            <w:tcW w:w="2880" w:type="dxa"/>
          </w:tcPr>
          <w:p w14:paraId="65B36F71" w14:textId="77777777" w:rsidR="009F1F11" w:rsidRDefault="00000000">
            <w:pPr>
              <w:cnfStyle w:val="000000010000" w:firstRow="0" w:lastRow="0" w:firstColumn="0" w:lastColumn="0" w:oddVBand="0" w:evenVBand="0" w:oddHBand="0" w:evenHBand="1" w:firstRowFirstColumn="0" w:firstRowLastColumn="0" w:lastRowFirstColumn="0" w:lastRowLastColumn="0"/>
            </w:pPr>
            <w:r>
              <w:t>ST1, RP, CP rated 1; only IK rated 3 (outdoor lesson)</w:t>
            </w:r>
          </w:p>
        </w:tc>
        <w:tc>
          <w:tcPr>
            <w:tcW w:w="2880" w:type="dxa"/>
          </w:tcPr>
          <w:p w14:paraId="2FC72E19" w14:textId="77777777" w:rsidR="009F1F11" w:rsidRDefault="00000000">
            <w:pPr>
              <w:cnfStyle w:val="000000010000" w:firstRow="0" w:lastRow="0" w:firstColumn="0" w:lastColumn="0" w:oddVBand="0" w:evenVBand="0" w:oddHBand="0" w:evenHBand="1" w:firstRowFirstColumn="0" w:firstRowLastColumn="0" w:lastRowFirstColumn="0" w:lastRowLastColumn="0"/>
            </w:pPr>
            <w:r>
              <w:t>Practical work rare; mostly theory-based</w:t>
            </w:r>
          </w:p>
        </w:tc>
      </w:tr>
      <w:tr w:rsidR="009F1F11" w14:paraId="6335B959"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8B34A52" w14:textId="77777777" w:rsidR="009F1F11" w:rsidRDefault="00000000">
            <w:r>
              <w:t>Inquiry-Based Learning</w:t>
            </w:r>
          </w:p>
        </w:tc>
        <w:tc>
          <w:tcPr>
            <w:tcW w:w="2880" w:type="dxa"/>
          </w:tcPr>
          <w:p w14:paraId="21370854" w14:textId="77777777" w:rsidR="009F1F11" w:rsidRDefault="00000000">
            <w:pPr>
              <w:cnfStyle w:val="000000100000" w:firstRow="0" w:lastRow="0" w:firstColumn="0" w:lastColumn="0" w:oddVBand="0" w:evenVBand="0" w:oddHBand="1" w:evenHBand="0" w:firstRowFirstColumn="0" w:firstRowLastColumn="0" w:lastRowFirstColumn="0" w:lastRowLastColumn="0"/>
            </w:pPr>
            <w:r>
              <w:t>ST1, RP rated 1–2</w:t>
            </w:r>
          </w:p>
        </w:tc>
        <w:tc>
          <w:tcPr>
            <w:tcW w:w="2880" w:type="dxa"/>
          </w:tcPr>
          <w:p w14:paraId="57473E81" w14:textId="77777777" w:rsidR="009F1F11" w:rsidRDefault="00000000">
            <w:pPr>
              <w:cnfStyle w:val="000000100000" w:firstRow="0" w:lastRow="0" w:firstColumn="0" w:lastColumn="0" w:oddVBand="0" w:evenVBand="0" w:oddHBand="1" w:evenHBand="0" w:firstRowFirstColumn="0" w:firstRowLastColumn="0" w:lastRowFirstColumn="0" w:lastRowLastColumn="0"/>
            </w:pPr>
            <w:r>
              <w:t>Weak inquiry development</w:t>
            </w:r>
          </w:p>
        </w:tc>
      </w:tr>
      <w:tr w:rsidR="009F1F11" w14:paraId="26556AAE" w14:textId="77777777" w:rsidTr="009F1F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F14670C" w14:textId="77777777" w:rsidR="009F1F11" w:rsidRDefault="00000000">
            <w:r>
              <w:t>Student Engagement</w:t>
            </w:r>
          </w:p>
        </w:tc>
        <w:tc>
          <w:tcPr>
            <w:tcW w:w="2880" w:type="dxa"/>
          </w:tcPr>
          <w:p w14:paraId="6CC1F76C" w14:textId="77777777" w:rsidR="009F1F11" w:rsidRDefault="00000000">
            <w:pPr>
              <w:cnfStyle w:val="000000010000" w:firstRow="0" w:lastRow="0" w:firstColumn="0" w:lastColumn="0" w:oddVBand="0" w:evenVBand="0" w:oddHBand="0" w:evenHBand="1" w:firstRowFirstColumn="0" w:firstRowLastColumn="0" w:lastRowFirstColumn="0" w:lastRowLastColumn="0"/>
            </w:pPr>
            <w:r>
              <w:t>Grade 9 lessons rated 2; IK, CP rated 3 (practical activities)</w:t>
            </w:r>
          </w:p>
        </w:tc>
        <w:tc>
          <w:tcPr>
            <w:tcW w:w="2880" w:type="dxa"/>
          </w:tcPr>
          <w:p w14:paraId="683DCFAF" w14:textId="77777777" w:rsidR="009F1F11" w:rsidRDefault="00000000">
            <w:pPr>
              <w:cnfStyle w:val="000000010000" w:firstRow="0" w:lastRow="0" w:firstColumn="0" w:lastColumn="0" w:oddVBand="0" w:evenVBand="0" w:oddHBand="0" w:evenHBand="1" w:firstRowFirstColumn="0" w:firstRowLastColumn="0" w:lastRowFirstColumn="0" w:lastRowLastColumn="0"/>
            </w:pPr>
            <w:r>
              <w:t>Engagement rises with hands-on work</w:t>
            </w:r>
          </w:p>
        </w:tc>
      </w:tr>
      <w:tr w:rsidR="009F1F11" w14:paraId="359E9FD5" w14:textId="77777777" w:rsidTr="009F1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5EA6396" w14:textId="77777777" w:rsidR="009F1F11" w:rsidRDefault="00000000">
            <w:r>
              <w:t>Assessment for Understanding</w:t>
            </w:r>
          </w:p>
        </w:tc>
        <w:tc>
          <w:tcPr>
            <w:tcW w:w="2880" w:type="dxa"/>
          </w:tcPr>
          <w:p w14:paraId="7BFB4B2E" w14:textId="77777777" w:rsidR="009F1F11" w:rsidRDefault="00000000">
            <w:pPr>
              <w:cnfStyle w:val="000000100000" w:firstRow="0" w:lastRow="0" w:firstColumn="0" w:lastColumn="0" w:oddVBand="0" w:evenVBand="0" w:oddHBand="1" w:evenHBand="0" w:firstRowFirstColumn="0" w:firstRowLastColumn="0" w:lastRowFirstColumn="0" w:lastRowLastColumn="0"/>
            </w:pPr>
            <w:r>
              <w:t>3 lessons rated 2; only IK rated high</w:t>
            </w:r>
          </w:p>
        </w:tc>
        <w:tc>
          <w:tcPr>
            <w:tcW w:w="2880" w:type="dxa"/>
          </w:tcPr>
          <w:p w14:paraId="72800DCE" w14:textId="77777777" w:rsidR="009F1F11" w:rsidRDefault="00000000">
            <w:pPr>
              <w:cnfStyle w:val="000000100000" w:firstRow="0" w:lastRow="0" w:firstColumn="0" w:lastColumn="0" w:oddVBand="0" w:evenVBand="0" w:oddHBand="1" w:evenHBand="0" w:firstRowFirstColumn="0" w:firstRowLastColumn="0" w:lastRowFirstColumn="0" w:lastRowLastColumn="0"/>
            </w:pPr>
            <w:r>
              <w:t>Surface-level assessment; limited critical thinking</w:t>
            </w:r>
          </w:p>
        </w:tc>
      </w:tr>
    </w:tbl>
    <w:p w14:paraId="21667BEF" w14:textId="77777777" w:rsidR="009F1F11" w:rsidRDefault="009F1F11"/>
    <w:p w14:paraId="73AD3339" w14:textId="77777777" w:rsidR="009F1F11" w:rsidRDefault="00000000">
      <w:r>
        <w:rPr>
          <w:b/>
        </w:rPr>
        <w:t xml:space="preserve">Note: </w:t>
      </w:r>
      <w:r>
        <w:t>Rating scale: 1 = Needs Improvement, 2 = Satisfactory, 3 = Good. Teachers coded as ST1, RP, IK, CP to maintain confidentiality.</w:t>
      </w:r>
    </w:p>
    <w:sectPr w:rsidR="009F1F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3693415">
    <w:abstractNumId w:val="8"/>
  </w:num>
  <w:num w:numId="2" w16cid:durableId="124278528">
    <w:abstractNumId w:val="6"/>
  </w:num>
  <w:num w:numId="3" w16cid:durableId="643891289">
    <w:abstractNumId w:val="5"/>
  </w:num>
  <w:num w:numId="4" w16cid:durableId="1101298190">
    <w:abstractNumId w:val="4"/>
  </w:num>
  <w:num w:numId="5" w16cid:durableId="1471094454">
    <w:abstractNumId w:val="7"/>
  </w:num>
  <w:num w:numId="6" w16cid:durableId="1530296507">
    <w:abstractNumId w:val="3"/>
  </w:num>
  <w:num w:numId="7" w16cid:durableId="359745353">
    <w:abstractNumId w:val="2"/>
  </w:num>
  <w:num w:numId="8" w16cid:durableId="607080919">
    <w:abstractNumId w:val="1"/>
  </w:num>
  <w:num w:numId="9" w16cid:durableId="129598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F1F11"/>
    <w:rsid w:val="00AA1D8D"/>
    <w:rsid w:val="00B47730"/>
    <w:rsid w:val="00B56D03"/>
    <w:rsid w:val="00B73A51"/>
    <w:rsid w:val="00C83162"/>
    <w:rsid w:val="00CB0664"/>
    <w:rsid w:val="00D062B1"/>
    <w:rsid w:val="00F319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4BE15"/>
  <w14:defaultImageDpi w14:val="300"/>
  <w15:docId w15:val="{C8ADBA04-F800-423C-A0EC-2AF757C8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Gumong Apolish</cp:lastModifiedBy>
  <cp:revision>3</cp:revision>
  <dcterms:created xsi:type="dcterms:W3CDTF">2026-05-19T08:26:00Z</dcterms:created>
  <dcterms:modified xsi:type="dcterms:W3CDTF">2026-05-19T08:42:00Z</dcterms:modified>
  <cp:category/>
</cp:coreProperties>
</file>