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FB7AE" w14:textId="1C4A21CC" w:rsidR="00C86B30" w:rsidRPr="00C86B30" w:rsidRDefault="00C86B30" w:rsidP="00C86B30">
      <w:pPr>
        <w:shd w:val="clear" w:color="auto" w:fill="FFFFFF"/>
        <w:spacing w:before="120" w:after="120" w:line="360" w:lineRule="auto"/>
        <w:jc w:val="center"/>
        <w:outlineLvl w:val="0"/>
        <w:rPr>
          <w:rFonts w:ascii="Times New Roman" w:eastAsia="Times New Roman" w:hAnsi="Times New Roman" w:cs="Times New Roman"/>
          <w:b/>
          <w:bCs/>
          <w:color w:val="222222"/>
          <w:kern w:val="36"/>
          <w:sz w:val="28"/>
          <w:szCs w:val="28"/>
          <w:lang w:eastAsia="en-IN"/>
          <w14:ligatures w14:val="none"/>
        </w:rPr>
      </w:pPr>
      <w:r w:rsidRPr="00C86B30">
        <w:rPr>
          <w:rFonts w:ascii="Times New Roman" w:eastAsia="Times New Roman" w:hAnsi="Times New Roman" w:cs="Times New Roman"/>
          <w:b/>
          <w:bCs/>
          <w:color w:val="222222"/>
          <w:kern w:val="36"/>
          <w:sz w:val="28"/>
          <w:szCs w:val="28"/>
          <w:lang w:eastAsia="en-IN"/>
          <w14:ligatures w14:val="none"/>
        </w:rPr>
        <w:t xml:space="preserve">The Economic Renaissance of Ayodhya, India: </w:t>
      </w:r>
      <w:r w:rsidRPr="00C86B30">
        <w:rPr>
          <w:rFonts w:ascii="Times New Roman" w:eastAsia="Times New Roman" w:hAnsi="Times New Roman" w:cs="Times New Roman"/>
          <w:b/>
          <w:bCs/>
          <w:color w:val="222222"/>
          <w:kern w:val="0"/>
          <w:sz w:val="28"/>
          <w:szCs w:val="28"/>
          <w:lang w:eastAsia="en-IN"/>
          <w14:ligatures w14:val="none"/>
        </w:rPr>
        <w:t>A Case Study on Shri Ram Mandir</w:t>
      </w:r>
    </w:p>
    <w:p w14:paraId="0C76D701" w14:textId="77777777" w:rsidR="00C86B30" w:rsidRPr="00C86B30" w:rsidRDefault="00C86B30" w:rsidP="00C86B30">
      <w:pPr>
        <w:shd w:val="clear" w:color="auto" w:fill="FFFFFF"/>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Venkataramanaiah Saddikuti</w:t>
      </w:r>
    </w:p>
    <w:p w14:paraId="4622ED0C" w14:textId="65D6E7EE"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shd w:val="clear" w:color="auto" w:fill="FFFFFF"/>
          <w:lang w:eastAsia="en-IN"/>
          <w14:ligatures w14:val="none"/>
        </w:rPr>
      </w:pPr>
      <w:r w:rsidRPr="00C86B30">
        <w:rPr>
          <w:rFonts w:ascii="Times New Roman" w:eastAsia="Times New Roman" w:hAnsi="Times New Roman" w:cs="Times New Roman"/>
          <w:color w:val="222222"/>
          <w:kern w:val="0"/>
          <w:sz w:val="24"/>
          <w:szCs w:val="24"/>
          <w:shd w:val="clear" w:color="auto" w:fill="FFFFFF"/>
          <w:lang w:eastAsia="en-IN"/>
          <w14:ligatures w14:val="none"/>
        </w:rPr>
        <w:t>Indian Institute of Management Lucknow</w:t>
      </w:r>
      <w:r>
        <w:rPr>
          <w:rFonts w:ascii="Times New Roman" w:eastAsia="Times New Roman" w:hAnsi="Times New Roman" w:cs="Times New Roman"/>
          <w:color w:val="222222"/>
          <w:kern w:val="0"/>
          <w:sz w:val="24"/>
          <w:szCs w:val="24"/>
          <w:shd w:val="clear" w:color="auto" w:fill="FFFFFF"/>
          <w:lang w:eastAsia="en-IN"/>
          <w14:ligatures w14:val="none"/>
        </w:rPr>
        <w:t xml:space="preserve"> (</w:t>
      </w:r>
      <w:hyperlink r:id="rId7" w:history="1">
        <w:r w:rsidRPr="00DD0449">
          <w:rPr>
            <w:rStyle w:val="Hyperlink"/>
            <w:rFonts w:ascii="Times New Roman" w:eastAsia="Times New Roman" w:hAnsi="Times New Roman" w:cs="Times New Roman"/>
            <w:kern w:val="0"/>
            <w:sz w:val="24"/>
            <w:szCs w:val="24"/>
            <w:shd w:val="clear" w:color="auto" w:fill="FFFFFF"/>
            <w:lang w:eastAsia="en-IN"/>
            <w14:ligatures w14:val="none"/>
          </w:rPr>
          <w:t>svenkat@iiml.ac.in</w:t>
        </w:r>
      </w:hyperlink>
      <w:r>
        <w:rPr>
          <w:rFonts w:ascii="Times New Roman" w:eastAsia="Times New Roman" w:hAnsi="Times New Roman" w:cs="Times New Roman"/>
          <w:color w:val="222222"/>
          <w:kern w:val="0"/>
          <w:sz w:val="24"/>
          <w:szCs w:val="24"/>
          <w:shd w:val="clear" w:color="auto" w:fill="FFFFFF"/>
          <w:lang w:eastAsia="en-IN"/>
          <w14:ligatures w14:val="none"/>
        </w:rPr>
        <w:t xml:space="preserve">) </w:t>
      </w:r>
    </w:p>
    <w:p w14:paraId="48D7800E" w14:textId="77777777" w:rsidR="00C86B30" w:rsidRPr="00C86B30" w:rsidRDefault="00C86B30" w:rsidP="00C86B30">
      <w:pPr>
        <w:shd w:val="clear" w:color="auto" w:fill="FFFFFF"/>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Raju K V</w:t>
      </w:r>
    </w:p>
    <w:p w14:paraId="0E5866B7" w14:textId="2C2B25EE" w:rsidR="00C86B30" w:rsidRPr="00C86B30" w:rsidRDefault="00C86B30" w:rsidP="00C86B30">
      <w:pPr>
        <w:shd w:val="clear" w:color="auto" w:fill="FFFFFF"/>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Chanakya University &amp; Government of Uttar Pradesh</w:t>
      </w:r>
      <w:r>
        <w:rPr>
          <w:rFonts w:ascii="Times New Roman" w:eastAsia="Times New Roman" w:hAnsi="Times New Roman" w:cs="Times New Roman"/>
          <w:color w:val="222222"/>
          <w:kern w:val="0"/>
          <w:sz w:val="24"/>
          <w:szCs w:val="24"/>
          <w:lang w:eastAsia="en-IN"/>
          <w14:ligatures w14:val="none"/>
        </w:rPr>
        <w:t xml:space="preserve"> (</w:t>
      </w:r>
      <w:hyperlink r:id="rId8" w:history="1">
        <w:r w:rsidRPr="00DD0449">
          <w:rPr>
            <w:rStyle w:val="Hyperlink"/>
            <w:rFonts w:ascii="Times New Roman" w:eastAsia="Times New Roman" w:hAnsi="Times New Roman" w:cs="Times New Roman"/>
            <w:kern w:val="0"/>
            <w:sz w:val="24"/>
            <w:szCs w:val="24"/>
            <w:lang w:eastAsia="en-IN"/>
            <w14:ligatures w14:val="none"/>
          </w:rPr>
          <w:t>kvraju2008@gmail.com</w:t>
        </w:r>
      </w:hyperlink>
      <w:r>
        <w:rPr>
          <w:rFonts w:ascii="Times New Roman" w:eastAsia="Times New Roman" w:hAnsi="Times New Roman" w:cs="Times New Roman"/>
          <w:color w:val="222222"/>
          <w:kern w:val="0"/>
          <w:sz w:val="24"/>
          <w:szCs w:val="24"/>
          <w:lang w:eastAsia="en-IN"/>
          <w14:ligatures w14:val="none"/>
        </w:rPr>
        <w:t xml:space="preserve">) </w:t>
      </w:r>
    </w:p>
    <w:p w14:paraId="0F1D55C8" w14:textId="77777777" w:rsidR="00C86B30" w:rsidRPr="00C86B30" w:rsidRDefault="00C86B30" w:rsidP="00C86B30">
      <w:pPr>
        <w:shd w:val="clear" w:color="auto" w:fill="FFFFFF"/>
        <w:spacing w:before="120" w:after="120" w:line="240" w:lineRule="auto"/>
        <w:jc w:val="both"/>
        <w:rPr>
          <w:rFonts w:ascii="Times New Roman" w:eastAsia="Times New Roman" w:hAnsi="Times New Roman" w:cs="Times New Roman"/>
          <w:color w:val="222222"/>
          <w:kern w:val="0"/>
          <w:sz w:val="24"/>
          <w:szCs w:val="24"/>
          <w:lang w:eastAsia="en-IN"/>
          <w14:ligatures w14:val="none"/>
        </w:rPr>
      </w:pPr>
      <w:proofErr w:type="spellStart"/>
      <w:r w:rsidRPr="00C86B30">
        <w:rPr>
          <w:rFonts w:ascii="Times New Roman" w:eastAsia="Times New Roman" w:hAnsi="Times New Roman" w:cs="Times New Roman"/>
          <w:color w:val="222222"/>
          <w:kern w:val="0"/>
          <w:sz w:val="24"/>
          <w:szCs w:val="24"/>
          <w:lang w:eastAsia="en-IN"/>
          <w14:ligatures w14:val="none"/>
        </w:rPr>
        <w:t>Gopika</w:t>
      </w:r>
      <w:proofErr w:type="spellEnd"/>
      <w:r w:rsidRPr="00C86B30">
        <w:rPr>
          <w:rFonts w:ascii="Times New Roman" w:eastAsia="Times New Roman" w:hAnsi="Times New Roman" w:cs="Times New Roman"/>
          <w:color w:val="222222"/>
          <w:kern w:val="0"/>
          <w:sz w:val="24"/>
          <w:szCs w:val="24"/>
          <w:lang w:eastAsia="en-IN"/>
          <w14:ligatures w14:val="none"/>
        </w:rPr>
        <w:t xml:space="preserve"> Varma</w:t>
      </w:r>
    </w:p>
    <w:p w14:paraId="73709153" w14:textId="62925326" w:rsidR="00C86B30" w:rsidRPr="00C86B30" w:rsidRDefault="00C86B30" w:rsidP="00C86B30">
      <w:pPr>
        <w:shd w:val="clear" w:color="auto" w:fill="FFFFFF"/>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Indian Institute of Management Rohtak</w:t>
      </w:r>
      <w:r>
        <w:rPr>
          <w:rFonts w:ascii="Times New Roman" w:eastAsia="Times New Roman" w:hAnsi="Times New Roman" w:cs="Times New Roman"/>
          <w:color w:val="222222"/>
          <w:kern w:val="0"/>
          <w:sz w:val="24"/>
          <w:szCs w:val="24"/>
          <w:lang w:eastAsia="en-IN"/>
          <w14:ligatures w14:val="none"/>
        </w:rPr>
        <w:t xml:space="preserve"> (</w:t>
      </w:r>
      <w:hyperlink r:id="rId9" w:history="1">
        <w:r w:rsidRPr="00DD0449">
          <w:rPr>
            <w:rStyle w:val="Hyperlink"/>
            <w:rFonts w:ascii="Times New Roman" w:eastAsia="Times New Roman" w:hAnsi="Times New Roman" w:cs="Times New Roman"/>
            <w:kern w:val="0"/>
            <w:sz w:val="24"/>
            <w:szCs w:val="24"/>
            <w:lang w:eastAsia="en-IN"/>
            <w14:ligatures w14:val="none"/>
          </w:rPr>
          <w:t>pgp14gopikag@iimrohtak.ac.in</w:t>
        </w:r>
      </w:hyperlink>
      <w:r>
        <w:rPr>
          <w:rFonts w:ascii="Times New Roman" w:eastAsia="Times New Roman" w:hAnsi="Times New Roman" w:cs="Times New Roman"/>
          <w:color w:val="222222"/>
          <w:kern w:val="0"/>
          <w:sz w:val="24"/>
          <w:szCs w:val="24"/>
          <w:lang w:eastAsia="en-IN"/>
          <w14:ligatures w14:val="none"/>
        </w:rPr>
        <w:t xml:space="preserve">) </w:t>
      </w:r>
    </w:p>
    <w:p w14:paraId="7384263A" w14:textId="77777777" w:rsid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p>
    <w:p w14:paraId="272AA099" w14:textId="35D62632"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Executive Summary</w:t>
      </w:r>
    </w:p>
    <w:p w14:paraId="5CFC25E6"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 xml:space="preserve">The consecration of Shri Ram Mandir in Ayodhya on 22 January 2024 represents a landmark convergence of faith, infrastructure, governance, and economic development in contemporary India. While the temple holds immense spiritual and cultural significance, its broader impact has been the rapid transformation of Ayodhya into a globally prominent religious tourism destination and a dynamic regional economic hub. This paper examines how large-scale religious infrastructure, supported by strategic public investment and institutional governance, can </w:t>
      </w:r>
      <w:proofErr w:type="spellStart"/>
      <w:r w:rsidRPr="00C86B30">
        <w:rPr>
          <w:rFonts w:ascii="Times New Roman" w:eastAsia="Times New Roman" w:hAnsi="Times New Roman" w:cs="Times New Roman"/>
          <w:color w:val="222222"/>
          <w:kern w:val="0"/>
          <w:sz w:val="24"/>
          <w:szCs w:val="24"/>
          <w:lang w:eastAsia="en-IN"/>
          <w14:ligatures w14:val="none"/>
        </w:rPr>
        <w:t>catalyze</w:t>
      </w:r>
      <w:proofErr w:type="spellEnd"/>
      <w:r w:rsidRPr="00C86B30">
        <w:rPr>
          <w:rFonts w:ascii="Times New Roman" w:eastAsia="Times New Roman" w:hAnsi="Times New Roman" w:cs="Times New Roman"/>
          <w:color w:val="222222"/>
          <w:kern w:val="0"/>
          <w:sz w:val="24"/>
          <w:szCs w:val="24"/>
          <w:lang w:eastAsia="en-IN"/>
          <w14:ligatures w14:val="none"/>
        </w:rPr>
        <w:t xml:space="preserve"> sustained and inclusive regional economic growth.</w:t>
      </w:r>
    </w:p>
    <w:p w14:paraId="48F227F4"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The study finds that Ayodhya experienced an unprecedented surge in pilgrim inflows following the temple’s inauguration, recording over 110 million visitors in 2024 alone. Tourist volumes are projected to stabilize at 50–60 million visitors annually in the medium term. This surge has translated into substantial economic gains, with annual tourism revenue estimated to exceed ₹100 billion and total temple-related economic output estimated at approximately ₹4 lakh crore for FY2024. Local retail and service sectors have expanded rapidly, with revenues increasing by three to five times across multiple segments.</w:t>
      </w:r>
    </w:p>
    <w:p w14:paraId="0CF398B4"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p>
    <w:p w14:paraId="7835FBCB"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Public infrastructure investment has been a critical enabler of this transformation. Under the Ayodhya Vision 2031 framework, approximately ₹85,000 crore has been committed toward airports, railway redevelopment, expressways, smart urban services, sanitation, and heritage conservation. These investments have significantly improved connectivity, urban liveability, and the city’s capacity to manage large-scale pilgrim inflows.</w:t>
      </w:r>
    </w:p>
    <w:p w14:paraId="69E9B7B8"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lastRenderedPageBreak/>
        <w:t>Employment generation has emerged as one of the most inclusive outcomes of temple-led development. An estimated 120,000 direct and indirect jobs have been created across hospitality, transport, construction, retail, and MSME sectors. Daily incomes of local vendors have increased from ₹400–500 prior to 2021 to ₹2,000–2,500 post-inauguration, reflecting meaningful livelihood enhancement.</w:t>
      </w:r>
    </w:p>
    <w:p w14:paraId="3A6AE8DA"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The study concludes that Ayodhya offers a replicable model of faith-based regional development, demonstrating how heritage, technology, governance, and sustainability can be integrated to generate long-term economic and social value.</w:t>
      </w:r>
    </w:p>
    <w:p w14:paraId="212E7131"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Abstract</w:t>
      </w:r>
    </w:p>
    <w:p w14:paraId="1343B22E"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 xml:space="preserve">The consecration of Shri Ram Mandir in Ayodhya on 22 January 2024 marks a defining moment in India’s religious, cultural, and economic evolution. Beyond its spiritual importance, the temple has emerged as a powerful engine of regional economic transformation, </w:t>
      </w:r>
      <w:proofErr w:type="spellStart"/>
      <w:r w:rsidRPr="00C86B30">
        <w:rPr>
          <w:rFonts w:ascii="Times New Roman" w:eastAsia="Times New Roman" w:hAnsi="Times New Roman" w:cs="Times New Roman"/>
          <w:color w:val="222222"/>
          <w:kern w:val="0"/>
          <w:sz w:val="24"/>
          <w:szCs w:val="24"/>
          <w:lang w:eastAsia="en-IN"/>
          <w14:ligatures w14:val="none"/>
        </w:rPr>
        <w:t>catalyzing</w:t>
      </w:r>
      <w:proofErr w:type="spellEnd"/>
      <w:r w:rsidRPr="00C86B30">
        <w:rPr>
          <w:rFonts w:ascii="Times New Roman" w:eastAsia="Times New Roman" w:hAnsi="Times New Roman" w:cs="Times New Roman"/>
          <w:color w:val="222222"/>
          <w:kern w:val="0"/>
          <w:sz w:val="24"/>
          <w:szCs w:val="24"/>
          <w:lang w:eastAsia="en-IN"/>
          <w14:ligatures w14:val="none"/>
        </w:rPr>
        <w:t xml:space="preserve"> infrastructure development, tourism growth, employment generation, and urban modernization. This paper presents a comprehensive case study of Ayodhya’s economic renaissance, examining public investment, governance mechanisms, technological adoption, and socio-economic outcomes. Drawing upon official government data, institutional research, and field observations, the study demonstrates how faith-based infrastructure can drive sustainable and inclusive regional development.</w:t>
      </w:r>
    </w:p>
    <w:p w14:paraId="442D47C5"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Keywords:</w:t>
      </w:r>
      <w:r w:rsidRPr="00C86B30">
        <w:rPr>
          <w:rFonts w:ascii="Times New Roman" w:eastAsia="Times New Roman" w:hAnsi="Times New Roman" w:cs="Times New Roman"/>
          <w:color w:val="222222"/>
          <w:kern w:val="0"/>
          <w:sz w:val="24"/>
          <w:szCs w:val="24"/>
          <w:lang w:eastAsia="en-IN"/>
          <w14:ligatures w14:val="none"/>
        </w:rPr>
        <w:t xml:space="preserve"> Religious Tourism, Economic Renaissance, Ayodhya, Shri Ram Mandir, Infrastructure Development, Governance</w:t>
      </w:r>
    </w:p>
    <w:p w14:paraId="3316B7FF"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1. Introduction</w:t>
      </w:r>
    </w:p>
    <w:p w14:paraId="79089B00"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Religious tourism has long played a central role in India’s socio-economic fabric, linking faith with livelihoods, urban development, and regional identity. Pilgrimage destinations such as Varanasi, Tirupati, Shirdi, and Vaishno Devi illustrate how sustained religious footfall can generate resilient local economies. In this continuum, the inauguration of Shri Ram Mandir has elevated Ayodhya from a modest pilgrimage town into a global spiritual destination of exceptional scale.</w:t>
      </w:r>
    </w:p>
    <w:p w14:paraId="655FDFCE"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India’s religious tourism market was valued at approximately USD 202.85 billion in 2024 and is projected to reach USD 441.19 billion by 2032. Within this expanding market, Ayodhya has emerged as one of the fastest-growing religious tourism nodes, supported by proactive state-led infrastructure development and institutional planning.</w:t>
      </w:r>
    </w:p>
    <w:p w14:paraId="390DC457"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lastRenderedPageBreak/>
        <w:t>2. Research Methodology and Objectives</w:t>
      </w:r>
    </w:p>
    <w:p w14:paraId="790E4C5F"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This study adopts a descriptive case study methodology, drawing upon official data from the Ayodhya Development Authority, Ministry of Tourism, and Shri Ram Janmbhoomi Teerth Kshetra Trust. Economic indicators were sourced from SBI Research and Knight Frank India. Field observations and stakeholder interactions conducted in May 2025 supplement secondary data.</w:t>
      </w:r>
    </w:p>
    <w:p w14:paraId="4DF44EAC"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 xml:space="preserve">The objectives are to </w:t>
      </w:r>
      <w:proofErr w:type="spellStart"/>
      <w:r w:rsidRPr="00C86B30">
        <w:rPr>
          <w:rFonts w:ascii="Times New Roman" w:eastAsia="Times New Roman" w:hAnsi="Times New Roman" w:cs="Times New Roman"/>
          <w:color w:val="222222"/>
          <w:kern w:val="0"/>
          <w:sz w:val="24"/>
          <w:szCs w:val="24"/>
          <w:lang w:eastAsia="en-IN"/>
          <w14:ligatures w14:val="none"/>
        </w:rPr>
        <w:t>analyze</w:t>
      </w:r>
      <w:proofErr w:type="spellEnd"/>
      <w:r w:rsidRPr="00C86B30">
        <w:rPr>
          <w:rFonts w:ascii="Times New Roman" w:eastAsia="Times New Roman" w:hAnsi="Times New Roman" w:cs="Times New Roman"/>
          <w:color w:val="222222"/>
          <w:kern w:val="0"/>
          <w:sz w:val="24"/>
          <w:szCs w:val="24"/>
          <w:lang w:eastAsia="en-IN"/>
          <w14:ligatures w14:val="none"/>
        </w:rPr>
        <w:t xml:space="preserve"> the financial and institutional framework of the Shri Ram Mandir, assess its economic impact, examine governance and technology adoption, and derive managerial insights for future religious infrastructure projects.</w:t>
      </w:r>
    </w:p>
    <w:p w14:paraId="785CBEEA"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3. Historical Background and Institutional Framework</w:t>
      </w:r>
    </w:p>
    <w:p w14:paraId="5A8414A4"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The Ram Janmabhoomi dispute spanned nearly five centuries before being resolved by the Supreme Court of India in November 2019. The Shri Ram Janmbhoomi Teerth Kshetra Trust was constituted in February 2020, with construction commencing in 2021 and culminating in the Pran Pratishtha ceremony in January 2024.</w:t>
      </w:r>
    </w:p>
    <w:p w14:paraId="064CC832"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The institutional framework emphasizes transparency, compliance, and long-term stewardship, setting new governance benchmarks for religious projects in India.</w:t>
      </w:r>
    </w:p>
    <w:p w14:paraId="47F7B9AD"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4. Temple Architecture and Planning</w:t>
      </w:r>
    </w:p>
    <w:p w14:paraId="263D7A88"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 xml:space="preserve">Designed in the Nagara architectural style by Chandrakant Sompura, the Shri Ram Mandir measures 380 feet in length, 250 feet in width, and 161 feet in height. Built using Bansi </w:t>
      </w:r>
      <w:proofErr w:type="spellStart"/>
      <w:r w:rsidRPr="00C86B30">
        <w:rPr>
          <w:rFonts w:ascii="Times New Roman" w:eastAsia="Times New Roman" w:hAnsi="Times New Roman" w:cs="Times New Roman"/>
          <w:color w:val="222222"/>
          <w:kern w:val="0"/>
          <w:sz w:val="24"/>
          <w:szCs w:val="24"/>
          <w:lang w:eastAsia="en-IN"/>
          <w14:ligatures w14:val="none"/>
        </w:rPr>
        <w:t>Paharpur</w:t>
      </w:r>
      <w:proofErr w:type="spellEnd"/>
      <w:r w:rsidRPr="00C86B30">
        <w:rPr>
          <w:rFonts w:ascii="Times New Roman" w:eastAsia="Times New Roman" w:hAnsi="Times New Roman" w:cs="Times New Roman"/>
          <w:color w:val="222222"/>
          <w:kern w:val="0"/>
          <w:sz w:val="24"/>
          <w:szCs w:val="24"/>
          <w:lang w:eastAsia="en-IN"/>
          <w14:ligatures w14:val="none"/>
        </w:rPr>
        <w:t xml:space="preserve"> sandstone without steel reinforcement, the temple rests on an earthquake-resistant foundation capable of withstanding seismic activity up to magnitude eight. The design life exceeds 1,000 years, underscoring cultural and economic sustainability.</w:t>
      </w:r>
    </w:p>
    <w:p w14:paraId="53E85F91"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5. Infrastructure Development and Public Investment</w:t>
      </w:r>
    </w:p>
    <w:p w14:paraId="6B127F8B"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 xml:space="preserve">Ayodhya Vision 2031 outlines infrastructure investments </w:t>
      </w:r>
      <w:proofErr w:type="spellStart"/>
      <w:r w:rsidRPr="00C86B30">
        <w:rPr>
          <w:rFonts w:ascii="Times New Roman" w:eastAsia="Times New Roman" w:hAnsi="Times New Roman" w:cs="Times New Roman"/>
          <w:color w:val="222222"/>
          <w:kern w:val="0"/>
          <w:sz w:val="24"/>
          <w:szCs w:val="24"/>
          <w:lang w:eastAsia="en-IN"/>
          <w14:ligatures w14:val="none"/>
        </w:rPr>
        <w:t>totaling</w:t>
      </w:r>
      <w:proofErr w:type="spellEnd"/>
      <w:r w:rsidRPr="00C86B30">
        <w:rPr>
          <w:rFonts w:ascii="Times New Roman" w:eastAsia="Times New Roman" w:hAnsi="Times New Roman" w:cs="Times New Roman"/>
          <w:color w:val="222222"/>
          <w:kern w:val="0"/>
          <w:sz w:val="24"/>
          <w:szCs w:val="24"/>
          <w:lang w:eastAsia="en-IN"/>
          <w14:ligatures w14:val="none"/>
        </w:rPr>
        <w:t xml:space="preserve"> approximately ₹85,000 crore.</w:t>
      </w:r>
    </w:p>
    <w:p w14:paraId="43375E68" w14:textId="77777777" w:rsidR="00C86B30" w:rsidRDefault="00C86B30">
      <w:pPr>
        <w:rPr>
          <w:rFonts w:ascii="Times New Roman" w:eastAsia="Times New Roman" w:hAnsi="Times New Roman" w:cs="Times New Roman"/>
          <w:b/>
          <w:bCs/>
          <w:color w:val="222222"/>
          <w:kern w:val="0"/>
          <w:sz w:val="24"/>
          <w:szCs w:val="24"/>
          <w:lang w:eastAsia="en-IN"/>
          <w14:ligatures w14:val="none"/>
        </w:rPr>
      </w:pPr>
      <w:r>
        <w:rPr>
          <w:rFonts w:ascii="Times New Roman" w:eastAsia="Times New Roman" w:hAnsi="Times New Roman" w:cs="Times New Roman"/>
          <w:b/>
          <w:bCs/>
          <w:color w:val="222222"/>
          <w:kern w:val="0"/>
          <w:sz w:val="24"/>
          <w:szCs w:val="24"/>
          <w:lang w:eastAsia="en-IN"/>
          <w14:ligatures w14:val="none"/>
        </w:rPr>
        <w:br w:type="page"/>
      </w:r>
    </w:p>
    <w:p w14:paraId="7332E23A" w14:textId="2FBB65A6" w:rsidR="00C86B30" w:rsidRPr="00C86B30" w:rsidRDefault="00C86B30" w:rsidP="00C86B30">
      <w:pPr>
        <w:shd w:val="clear" w:color="auto" w:fill="FFFFFF"/>
        <w:spacing w:before="120" w:after="120" w:line="360" w:lineRule="auto"/>
        <w:jc w:val="both"/>
        <w:outlineLvl w:val="2"/>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lastRenderedPageBreak/>
        <w:t>Table 1: Major Infrastructure Investments in Ayodhya</w:t>
      </w:r>
    </w:p>
    <w:tbl>
      <w:tblPr>
        <w:tblW w:w="911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37"/>
        <w:gridCol w:w="2098"/>
        <w:gridCol w:w="3384"/>
      </w:tblGrid>
      <w:tr w:rsidR="00C86B30" w:rsidRPr="00C86B30" w14:paraId="296EDC7C" w14:textId="77777777" w:rsidTr="00C86B30">
        <w:trPr>
          <w:trHeight w:val="861"/>
          <w:tblHeader/>
          <w:tblCellSpacing w:w="15" w:type="dxa"/>
        </w:trPr>
        <w:tc>
          <w:tcPr>
            <w:tcW w:w="0" w:type="auto"/>
            <w:shd w:val="clear" w:color="auto" w:fill="FFFFFF"/>
            <w:vAlign w:val="center"/>
            <w:hideMark/>
          </w:tcPr>
          <w:p w14:paraId="021DBE9D" w14:textId="77777777" w:rsidR="00C86B30" w:rsidRPr="00C86B30" w:rsidRDefault="00C86B30" w:rsidP="00C86B30">
            <w:pPr>
              <w:spacing w:before="120" w:after="120" w:line="240" w:lineRule="auto"/>
              <w:jc w:val="both"/>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Project</w:t>
            </w:r>
          </w:p>
        </w:tc>
        <w:tc>
          <w:tcPr>
            <w:tcW w:w="0" w:type="auto"/>
            <w:shd w:val="clear" w:color="auto" w:fill="FFFFFF"/>
            <w:vAlign w:val="center"/>
            <w:hideMark/>
          </w:tcPr>
          <w:p w14:paraId="4A26441B" w14:textId="77777777" w:rsidR="00C86B30" w:rsidRPr="00C86B30" w:rsidRDefault="00C86B30" w:rsidP="00C86B30">
            <w:pPr>
              <w:spacing w:before="120" w:after="120" w:line="240" w:lineRule="auto"/>
              <w:jc w:val="both"/>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Investment (₹ Crore)</w:t>
            </w:r>
          </w:p>
        </w:tc>
        <w:tc>
          <w:tcPr>
            <w:tcW w:w="0" w:type="auto"/>
            <w:shd w:val="clear" w:color="auto" w:fill="FFFFFF"/>
            <w:vAlign w:val="center"/>
            <w:hideMark/>
          </w:tcPr>
          <w:p w14:paraId="390FAD0F" w14:textId="77777777" w:rsidR="00C86B30" w:rsidRPr="00C86B30" w:rsidRDefault="00C86B30" w:rsidP="00C86B30">
            <w:pPr>
              <w:spacing w:before="120" w:after="120" w:line="240" w:lineRule="auto"/>
              <w:jc w:val="both"/>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Purpose</w:t>
            </w:r>
          </w:p>
        </w:tc>
      </w:tr>
      <w:tr w:rsidR="00C86B30" w:rsidRPr="00C86B30" w14:paraId="6CCF12BB" w14:textId="77777777" w:rsidTr="00C86B30">
        <w:trPr>
          <w:trHeight w:val="861"/>
          <w:tblCellSpacing w:w="15" w:type="dxa"/>
        </w:trPr>
        <w:tc>
          <w:tcPr>
            <w:tcW w:w="0" w:type="auto"/>
            <w:shd w:val="clear" w:color="auto" w:fill="FFFFFF"/>
            <w:vAlign w:val="center"/>
            <w:hideMark/>
          </w:tcPr>
          <w:p w14:paraId="1D0D5831"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Maharishi Valmiki International Airport</w:t>
            </w:r>
          </w:p>
        </w:tc>
        <w:tc>
          <w:tcPr>
            <w:tcW w:w="0" w:type="auto"/>
            <w:shd w:val="clear" w:color="auto" w:fill="FFFFFF"/>
            <w:vAlign w:val="center"/>
            <w:hideMark/>
          </w:tcPr>
          <w:p w14:paraId="23FD0CCB"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1,450</w:t>
            </w:r>
          </w:p>
        </w:tc>
        <w:tc>
          <w:tcPr>
            <w:tcW w:w="0" w:type="auto"/>
            <w:shd w:val="clear" w:color="auto" w:fill="FFFFFF"/>
            <w:vAlign w:val="center"/>
            <w:hideMark/>
          </w:tcPr>
          <w:p w14:paraId="3DE09C0A"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National &amp; international connectivity</w:t>
            </w:r>
          </w:p>
        </w:tc>
      </w:tr>
      <w:tr w:rsidR="00C86B30" w:rsidRPr="00C86B30" w14:paraId="07A6C7B1" w14:textId="77777777" w:rsidTr="00C86B30">
        <w:trPr>
          <w:trHeight w:val="521"/>
          <w:tblCellSpacing w:w="15" w:type="dxa"/>
        </w:trPr>
        <w:tc>
          <w:tcPr>
            <w:tcW w:w="0" w:type="auto"/>
            <w:shd w:val="clear" w:color="auto" w:fill="FFFFFF"/>
            <w:vAlign w:val="center"/>
            <w:hideMark/>
          </w:tcPr>
          <w:p w14:paraId="5F0E8DBD"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Railway Station Redevelopment</w:t>
            </w:r>
          </w:p>
        </w:tc>
        <w:tc>
          <w:tcPr>
            <w:tcW w:w="0" w:type="auto"/>
            <w:shd w:val="clear" w:color="auto" w:fill="FFFFFF"/>
            <w:vAlign w:val="center"/>
            <w:hideMark/>
          </w:tcPr>
          <w:p w14:paraId="4C606499"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430</w:t>
            </w:r>
          </w:p>
        </w:tc>
        <w:tc>
          <w:tcPr>
            <w:tcW w:w="0" w:type="auto"/>
            <w:shd w:val="clear" w:color="auto" w:fill="FFFFFF"/>
            <w:vAlign w:val="center"/>
            <w:hideMark/>
          </w:tcPr>
          <w:p w14:paraId="290032BA"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Capacity enhancement</w:t>
            </w:r>
          </w:p>
        </w:tc>
      </w:tr>
      <w:tr w:rsidR="00C86B30" w:rsidRPr="00C86B30" w14:paraId="6A3BEFE4" w14:textId="77777777" w:rsidTr="00C86B30">
        <w:trPr>
          <w:trHeight w:val="521"/>
          <w:tblCellSpacing w:w="15" w:type="dxa"/>
        </w:trPr>
        <w:tc>
          <w:tcPr>
            <w:tcW w:w="0" w:type="auto"/>
            <w:shd w:val="clear" w:color="auto" w:fill="FFFFFF"/>
            <w:vAlign w:val="center"/>
            <w:hideMark/>
          </w:tcPr>
          <w:p w14:paraId="244774AB"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Expressways &amp; Road Networks</w:t>
            </w:r>
          </w:p>
        </w:tc>
        <w:tc>
          <w:tcPr>
            <w:tcW w:w="0" w:type="auto"/>
            <w:shd w:val="clear" w:color="auto" w:fill="FFFFFF"/>
            <w:vAlign w:val="center"/>
            <w:hideMark/>
          </w:tcPr>
          <w:p w14:paraId="645393C5"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20,000+</w:t>
            </w:r>
          </w:p>
        </w:tc>
        <w:tc>
          <w:tcPr>
            <w:tcW w:w="0" w:type="auto"/>
            <w:shd w:val="clear" w:color="auto" w:fill="FFFFFF"/>
            <w:vAlign w:val="center"/>
            <w:hideMark/>
          </w:tcPr>
          <w:p w14:paraId="7558C9A0"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Regional integration</w:t>
            </w:r>
          </w:p>
        </w:tc>
      </w:tr>
      <w:tr w:rsidR="00C86B30" w:rsidRPr="00C86B30" w14:paraId="2169908B" w14:textId="77777777" w:rsidTr="00C86B30">
        <w:trPr>
          <w:trHeight w:val="521"/>
          <w:tblCellSpacing w:w="15" w:type="dxa"/>
        </w:trPr>
        <w:tc>
          <w:tcPr>
            <w:tcW w:w="0" w:type="auto"/>
            <w:shd w:val="clear" w:color="auto" w:fill="FFFFFF"/>
            <w:vAlign w:val="center"/>
            <w:hideMark/>
          </w:tcPr>
          <w:p w14:paraId="186EE5E8"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Smart City &amp; Urban Redevelopment</w:t>
            </w:r>
          </w:p>
        </w:tc>
        <w:tc>
          <w:tcPr>
            <w:tcW w:w="0" w:type="auto"/>
            <w:shd w:val="clear" w:color="auto" w:fill="FFFFFF"/>
            <w:vAlign w:val="center"/>
            <w:hideMark/>
          </w:tcPr>
          <w:p w14:paraId="7176B438"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30,000+</w:t>
            </w:r>
          </w:p>
        </w:tc>
        <w:tc>
          <w:tcPr>
            <w:tcW w:w="0" w:type="auto"/>
            <w:shd w:val="clear" w:color="auto" w:fill="FFFFFF"/>
            <w:vAlign w:val="center"/>
            <w:hideMark/>
          </w:tcPr>
          <w:p w14:paraId="71ECB85C"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Civic infrastructure</w:t>
            </w:r>
          </w:p>
        </w:tc>
      </w:tr>
      <w:tr w:rsidR="00C86B30" w:rsidRPr="00C86B30" w14:paraId="07A52266" w14:textId="77777777" w:rsidTr="00C86B30">
        <w:trPr>
          <w:trHeight w:val="521"/>
          <w:tblCellSpacing w:w="15" w:type="dxa"/>
        </w:trPr>
        <w:tc>
          <w:tcPr>
            <w:tcW w:w="0" w:type="auto"/>
            <w:shd w:val="clear" w:color="auto" w:fill="FFFFFF"/>
            <w:vAlign w:val="center"/>
            <w:hideMark/>
          </w:tcPr>
          <w:p w14:paraId="69DAE65B"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Sanitation &amp; Riverfront Projects</w:t>
            </w:r>
          </w:p>
        </w:tc>
        <w:tc>
          <w:tcPr>
            <w:tcW w:w="0" w:type="auto"/>
            <w:shd w:val="clear" w:color="auto" w:fill="FFFFFF"/>
            <w:vAlign w:val="center"/>
            <w:hideMark/>
          </w:tcPr>
          <w:p w14:paraId="0DC4244D"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5,000+</w:t>
            </w:r>
          </w:p>
        </w:tc>
        <w:tc>
          <w:tcPr>
            <w:tcW w:w="0" w:type="auto"/>
            <w:shd w:val="clear" w:color="auto" w:fill="FFFFFF"/>
            <w:vAlign w:val="center"/>
            <w:hideMark/>
          </w:tcPr>
          <w:p w14:paraId="38B15F63"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Environmental sustainability</w:t>
            </w:r>
          </w:p>
        </w:tc>
      </w:tr>
    </w:tbl>
    <w:p w14:paraId="652556D4" w14:textId="75133605" w:rsidR="00C86B30" w:rsidRPr="00C86B30" w:rsidRDefault="00C86B30" w:rsidP="00C86B30">
      <w:pPr>
        <w:spacing w:before="120" w:after="120" w:line="360" w:lineRule="auto"/>
        <w:jc w:val="both"/>
        <w:rPr>
          <w:rFonts w:ascii="Times New Roman" w:eastAsia="Times New Roman" w:hAnsi="Times New Roman" w:cs="Times New Roman"/>
          <w:kern w:val="0"/>
          <w:sz w:val="24"/>
          <w:szCs w:val="24"/>
          <w:lang w:eastAsia="en-IN"/>
          <w14:ligatures w14:val="none"/>
        </w:rPr>
      </w:pPr>
    </w:p>
    <w:p w14:paraId="6480F08F"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6. Economic Impact and Employment Generation</w:t>
      </w:r>
    </w:p>
    <w:p w14:paraId="3ACB6D11" w14:textId="7D0C66A2" w:rsid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Ayodhya recorded over 110 million visitors in 2024, with peak daily footfalls reaching 500,000. Annual tourism revenue is estimated to exceed ₹100 billion.</w:t>
      </w:r>
    </w:p>
    <w:p w14:paraId="5FCA48C4"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p>
    <w:p w14:paraId="6681FC89" w14:textId="77777777" w:rsidR="00C86B30" w:rsidRPr="00C86B30" w:rsidRDefault="00C86B30" w:rsidP="00C86B30">
      <w:pPr>
        <w:shd w:val="clear" w:color="auto" w:fill="FFFFFF"/>
        <w:spacing w:before="120" w:after="120" w:line="360" w:lineRule="auto"/>
        <w:jc w:val="both"/>
        <w:outlineLvl w:val="2"/>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Table 2: Key Economic Indicators</w:t>
      </w:r>
    </w:p>
    <w:tbl>
      <w:tblPr>
        <w:tblW w:w="60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65"/>
        <w:gridCol w:w="2840"/>
      </w:tblGrid>
      <w:tr w:rsidR="00C86B30" w:rsidRPr="00C86B30" w14:paraId="7A448725" w14:textId="77777777" w:rsidTr="00C86B30">
        <w:trPr>
          <w:trHeight w:val="591"/>
          <w:tblHeader/>
          <w:tblCellSpacing w:w="15" w:type="dxa"/>
        </w:trPr>
        <w:tc>
          <w:tcPr>
            <w:tcW w:w="0" w:type="auto"/>
            <w:shd w:val="clear" w:color="auto" w:fill="FFFFFF"/>
            <w:vAlign w:val="center"/>
            <w:hideMark/>
          </w:tcPr>
          <w:p w14:paraId="23C1FC26" w14:textId="77777777" w:rsidR="00C86B30" w:rsidRPr="00C86B30" w:rsidRDefault="00C86B30" w:rsidP="00C86B30">
            <w:pPr>
              <w:spacing w:before="120" w:after="120" w:line="240" w:lineRule="auto"/>
              <w:jc w:val="both"/>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Indicator</w:t>
            </w:r>
          </w:p>
        </w:tc>
        <w:tc>
          <w:tcPr>
            <w:tcW w:w="0" w:type="auto"/>
            <w:shd w:val="clear" w:color="auto" w:fill="FFFFFF"/>
            <w:vAlign w:val="center"/>
            <w:hideMark/>
          </w:tcPr>
          <w:p w14:paraId="63F2F241" w14:textId="77777777" w:rsidR="00C86B30" w:rsidRPr="00C86B30" w:rsidRDefault="00C86B30" w:rsidP="00C86B30">
            <w:pPr>
              <w:spacing w:before="120" w:after="120" w:line="240" w:lineRule="auto"/>
              <w:jc w:val="both"/>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Value</w:t>
            </w:r>
          </w:p>
        </w:tc>
      </w:tr>
      <w:tr w:rsidR="00C86B30" w:rsidRPr="00C86B30" w14:paraId="5BEFF204" w14:textId="77777777" w:rsidTr="00C86B30">
        <w:trPr>
          <w:trHeight w:val="577"/>
          <w:tblCellSpacing w:w="15" w:type="dxa"/>
        </w:trPr>
        <w:tc>
          <w:tcPr>
            <w:tcW w:w="0" w:type="auto"/>
            <w:shd w:val="clear" w:color="auto" w:fill="FFFFFF"/>
            <w:vAlign w:val="center"/>
            <w:hideMark/>
          </w:tcPr>
          <w:p w14:paraId="320186FC"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Visitors in 2024</w:t>
            </w:r>
          </w:p>
        </w:tc>
        <w:tc>
          <w:tcPr>
            <w:tcW w:w="0" w:type="auto"/>
            <w:shd w:val="clear" w:color="auto" w:fill="FFFFFF"/>
            <w:vAlign w:val="center"/>
            <w:hideMark/>
          </w:tcPr>
          <w:p w14:paraId="7FA444CA"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110+ million</w:t>
            </w:r>
          </w:p>
        </w:tc>
      </w:tr>
      <w:tr w:rsidR="00C86B30" w:rsidRPr="00C86B30" w14:paraId="6AED7AD4" w14:textId="77777777" w:rsidTr="00C86B30">
        <w:trPr>
          <w:trHeight w:val="564"/>
          <w:tblCellSpacing w:w="15" w:type="dxa"/>
        </w:trPr>
        <w:tc>
          <w:tcPr>
            <w:tcW w:w="0" w:type="auto"/>
            <w:shd w:val="clear" w:color="auto" w:fill="FFFFFF"/>
            <w:vAlign w:val="center"/>
            <w:hideMark/>
          </w:tcPr>
          <w:p w14:paraId="1F246E61"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Projected Annual Visitors</w:t>
            </w:r>
          </w:p>
        </w:tc>
        <w:tc>
          <w:tcPr>
            <w:tcW w:w="0" w:type="auto"/>
            <w:shd w:val="clear" w:color="auto" w:fill="FFFFFF"/>
            <w:vAlign w:val="center"/>
            <w:hideMark/>
          </w:tcPr>
          <w:p w14:paraId="53AB3A6E"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50–60 million</w:t>
            </w:r>
          </w:p>
        </w:tc>
      </w:tr>
      <w:tr w:rsidR="00C86B30" w:rsidRPr="00C86B30" w14:paraId="5596FE1B" w14:textId="77777777" w:rsidTr="00C86B30">
        <w:trPr>
          <w:trHeight w:val="577"/>
          <w:tblCellSpacing w:w="15" w:type="dxa"/>
        </w:trPr>
        <w:tc>
          <w:tcPr>
            <w:tcW w:w="0" w:type="auto"/>
            <w:shd w:val="clear" w:color="auto" w:fill="FFFFFF"/>
            <w:vAlign w:val="center"/>
            <w:hideMark/>
          </w:tcPr>
          <w:p w14:paraId="338E144C"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Annual Tourism Revenue</w:t>
            </w:r>
          </w:p>
        </w:tc>
        <w:tc>
          <w:tcPr>
            <w:tcW w:w="0" w:type="auto"/>
            <w:shd w:val="clear" w:color="auto" w:fill="FFFFFF"/>
            <w:vAlign w:val="center"/>
            <w:hideMark/>
          </w:tcPr>
          <w:p w14:paraId="6CAD760F"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₹100+ billion</w:t>
            </w:r>
          </w:p>
        </w:tc>
      </w:tr>
      <w:tr w:rsidR="00C86B30" w:rsidRPr="00C86B30" w14:paraId="45FD3647" w14:textId="77777777" w:rsidTr="00C86B30">
        <w:trPr>
          <w:trHeight w:val="577"/>
          <w:tblCellSpacing w:w="15" w:type="dxa"/>
        </w:trPr>
        <w:tc>
          <w:tcPr>
            <w:tcW w:w="0" w:type="auto"/>
            <w:shd w:val="clear" w:color="auto" w:fill="FFFFFF"/>
            <w:vAlign w:val="center"/>
            <w:hideMark/>
          </w:tcPr>
          <w:p w14:paraId="1C9F37F0"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Economic Output (FY2024)</w:t>
            </w:r>
          </w:p>
        </w:tc>
        <w:tc>
          <w:tcPr>
            <w:tcW w:w="0" w:type="auto"/>
            <w:shd w:val="clear" w:color="auto" w:fill="FFFFFF"/>
            <w:vAlign w:val="center"/>
            <w:hideMark/>
          </w:tcPr>
          <w:p w14:paraId="2331BBC5"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₹4 lakh crore</w:t>
            </w:r>
          </w:p>
        </w:tc>
      </w:tr>
      <w:tr w:rsidR="00C86B30" w:rsidRPr="00C86B30" w14:paraId="731C2256" w14:textId="77777777" w:rsidTr="00C86B30">
        <w:trPr>
          <w:trHeight w:val="577"/>
          <w:tblCellSpacing w:w="15" w:type="dxa"/>
        </w:trPr>
        <w:tc>
          <w:tcPr>
            <w:tcW w:w="0" w:type="auto"/>
            <w:shd w:val="clear" w:color="auto" w:fill="FFFFFF"/>
            <w:vAlign w:val="center"/>
            <w:hideMark/>
          </w:tcPr>
          <w:p w14:paraId="1E182719"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Jobs Created</w:t>
            </w:r>
          </w:p>
        </w:tc>
        <w:tc>
          <w:tcPr>
            <w:tcW w:w="0" w:type="auto"/>
            <w:shd w:val="clear" w:color="auto" w:fill="FFFFFF"/>
            <w:vAlign w:val="center"/>
            <w:hideMark/>
          </w:tcPr>
          <w:p w14:paraId="1FA0B3BD"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~120,000</w:t>
            </w:r>
          </w:p>
        </w:tc>
      </w:tr>
      <w:tr w:rsidR="00C86B30" w:rsidRPr="00C86B30" w14:paraId="1D355E8A" w14:textId="77777777" w:rsidTr="00C86B30">
        <w:trPr>
          <w:trHeight w:val="591"/>
          <w:tblCellSpacing w:w="15" w:type="dxa"/>
        </w:trPr>
        <w:tc>
          <w:tcPr>
            <w:tcW w:w="0" w:type="auto"/>
            <w:shd w:val="clear" w:color="auto" w:fill="FFFFFF"/>
            <w:vAlign w:val="center"/>
            <w:hideMark/>
          </w:tcPr>
          <w:p w14:paraId="195E44CA"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Vendor Daily Income Increase</w:t>
            </w:r>
          </w:p>
        </w:tc>
        <w:tc>
          <w:tcPr>
            <w:tcW w:w="0" w:type="auto"/>
            <w:shd w:val="clear" w:color="auto" w:fill="FFFFFF"/>
            <w:vAlign w:val="center"/>
            <w:hideMark/>
          </w:tcPr>
          <w:p w14:paraId="5081C37C" w14:textId="77777777" w:rsidR="00C86B30" w:rsidRPr="00C86B30" w:rsidRDefault="00C86B30" w:rsidP="00C86B30">
            <w:pPr>
              <w:spacing w:before="120" w:after="120" w:line="24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₹400–500 → ₹2,000–2,500</w:t>
            </w:r>
          </w:p>
        </w:tc>
      </w:tr>
    </w:tbl>
    <w:p w14:paraId="0B67117C" w14:textId="77777777" w:rsid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p>
    <w:p w14:paraId="53D2B0EC" w14:textId="77777777" w:rsidR="00C86B30" w:rsidRDefault="00C86B30">
      <w:pPr>
        <w:rPr>
          <w:rFonts w:ascii="Times New Roman" w:eastAsia="Times New Roman" w:hAnsi="Times New Roman" w:cs="Times New Roman"/>
          <w:b/>
          <w:bCs/>
          <w:color w:val="222222"/>
          <w:kern w:val="0"/>
          <w:sz w:val="24"/>
          <w:szCs w:val="24"/>
          <w:lang w:eastAsia="en-IN"/>
          <w14:ligatures w14:val="none"/>
        </w:rPr>
      </w:pPr>
      <w:r>
        <w:rPr>
          <w:rFonts w:ascii="Times New Roman" w:eastAsia="Times New Roman" w:hAnsi="Times New Roman" w:cs="Times New Roman"/>
          <w:b/>
          <w:bCs/>
          <w:color w:val="222222"/>
          <w:kern w:val="0"/>
          <w:sz w:val="24"/>
          <w:szCs w:val="24"/>
          <w:lang w:eastAsia="en-IN"/>
          <w14:ligatures w14:val="none"/>
        </w:rPr>
        <w:br w:type="page"/>
      </w:r>
    </w:p>
    <w:p w14:paraId="651C1921" w14:textId="0C166FFB"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lastRenderedPageBreak/>
        <w:t>7. Governance, Digitalization, and Operations</w:t>
      </w:r>
    </w:p>
    <w:p w14:paraId="62857A6B"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Ayodhya employs AI-enabled crowd management, 1,200+ CCTV cameras, RFID-based queues, digital darshan platforms, and online donation systems. Electric buses and e-rickshaws support sustainable urban mobility.</w:t>
      </w:r>
    </w:p>
    <w:p w14:paraId="2F69553C"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8. Managerial Insights and Policy Implications</w:t>
      </w:r>
    </w:p>
    <w:p w14:paraId="1642901C"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Key managerial insights include the role of faith as an economic anchor, the importance of integrated governance, the necessity of digital systems at scale, inclusive livelihood planning, and sustainability-driven urban design. These insights offer a transferable framework for future temple towns and heritage cities.</w:t>
      </w:r>
    </w:p>
    <w:p w14:paraId="007DF71F"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9. Conclusion</w:t>
      </w:r>
    </w:p>
    <w:p w14:paraId="2B7AF15B" w14:textId="77777777" w:rsidR="00C86B30" w:rsidRPr="00C86B30" w:rsidRDefault="00C86B30" w:rsidP="00C86B30">
      <w:pPr>
        <w:shd w:val="clear" w:color="auto" w:fill="FFFFFF"/>
        <w:spacing w:before="120" w:after="120" w:line="360" w:lineRule="auto"/>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 xml:space="preserve">The Shri Ram Mandir has </w:t>
      </w:r>
      <w:proofErr w:type="spellStart"/>
      <w:r w:rsidRPr="00C86B30">
        <w:rPr>
          <w:rFonts w:ascii="Times New Roman" w:eastAsia="Times New Roman" w:hAnsi="Times New Roman" w:cs="Times New Roman"/>
          <w:color w:val="222222"/>
          <w:kern w:val="0"/>
          <w:sz w:val="24"/>
          <w:szCs w:val="24"/>
          <w:lang w:eastAsia="en-IN"/>
          <w14:ligatures w14:val="none"/>
        </w:rPr>
        <w:t>catalyzed</w:t>
      </w:r>
      <w:proofErr w:type="spellEnd"/>
      <w:r w:rsidRPr="00C86B30">
        <w:rPr>
          <w:rFonts w:ascii="Times New Roman" w:eastAsia="Times New Roman" w:hAnsi="Times New Roman" w:cs="Times New Roman"/>
          <w:color w:val="222222"/>
          <w:kern w:val="0"/>
          <w:sz w:val="24"/>
          <w:szCs w:val="24"/>
          <w:lang w:eastAsia="en-IN"/>
          <w14:ligatures w14:val="none"/>
        </w:rPr>
        <w:t xml:space="preserve"> Ayodhya’s economic renaissance, demonstrating how religious infrastructure can drive inclusive and sustainable regional development. The Ayodhya model integrates heritage, governance, technology, and economic planning, offering a replicable blueprint for faith-based development initiatives across India.</w:t>
      </w:r>
    </w:p>
    <w:p w14:paraId="17ECD6C4" w14:textId="77777777" w:rsidR="00C86B30" w:rsidRPr="00C86B30" w:rsidRDefault="00C86B30" w:rsidP="00C86B30">
      <w:pPr>
        <w:shd w:val="clear" w:color="auto" w:fill="FFFFFF"/>
        <w:spacing w:before="120" w:after="120" w:line="360" w:lineRule="auto"/>
        <w:jc w:val="both"/>
        <w:outlineLvl w:val="1"/>
        <w:rPr>
          <w:rFonts w:ascii="Times New Roman" w:eastAsia="Times New Roman" w:hAnsi="Times New Roman" w:cs="Times New Roman"/>
          <w:b/>
          <w:bCs/>
          <w:color w:val="222222"/>
          <w:kern w:val="0"/>
          <w:sz w:val="24"/>
          <w:szCs w:val="24"/>
          <w:lang w:eastAsia="en-IN"/>
          <w14:ligatures w14:val="none"/>
        </w:rPr>
      </w:pPr>
      <w:r w:rsidRPr="00C86B30">
        <w:rPr>
          <w:rFonts w:ascii="Times New Roman" w:eastAsia="Times New Roman" w:hAnsi="Times New Roman" w:cs="Times New Roman"/>
          <w:b/>
          <w:bCs/>
          <w:color w:val="222222"/>
          <w:kern w:val="0"/>
          <w:sz w:val="24"/>
          <w:szCs w:val="24"/>
          <w:lang w:eastAsia="en-IN"/>
          <w14:ligatures w14:val="none"/>
        </w:rPr>
        <w:t>References</w:t>
      </w:r>
    </w:p>
    <w:p w14:paraId="73F7D3AC" w14:textId="77777777" w:rsidR="00C86B30" w:rsidRPr="00C86B30" w:rsidRDefault="00C86B30" w:rsidP="00C86B30">
      <w:pPr>
        <w:numPr>
          <w:ilvl w:val="0"/>
          <w:numId w:val="1"/>
        </w:numPr>
        <w:shd w:val="clear" w:color="auto" w:fill="FFFFFF"/>
        <w:spacing w:before="120" w:after="120" w:line="360" w:lineRule="auto"/>
        <w:ind w:left="945"/>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Ministry of Tourism, Government of India (2024). India Tourism Statistics.</w:t>
      </w:r>
    </w:p>
    <w:p w14:paraId="05806FB7" w14:textId="77777777" w:rsidR="00C86B30" w:rsidRPr="00C86B30" w:rsidRDefault="00C86B30" w:rsidP="00C86B30">
      <w:pPr>
        <w:numPr>
          <w:ilvl w:val="0"/>
          <w:numId w:val="1"/>
        </w:numPr>
        <w:shd w:val="clear" w:color="auto" w:fill="FFFFFF"/>
        <w:spacing w:before="120" w:after="120" w:line="360" w:lineRule="auto"/>
        <w:ind w:left="945"/>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SBI Research (2024). Economic Impact of Shri Ram Mandir on Regional Development.</w:t>
      </w:r>
    </w:p>
    <w:p w14:paraId="2B4A6745" w14:textId="77777777" w:rsidR="00C86B30" w:rsidRPr="00C86B30" w:rsidRDefault="00C86B30" w:rsidP="00C86B30">
      <w:pPr>
        <w:numPr>
          <w:ilvl w:val="0"/>
          <w:numId w:val="1"/>
        </w:numPr>
        <w:shd w:val="clear" w:color="auto" w:fill="FFFFFF"/>
        <w:spacing w:before="120" w:after="120" w:line="360" w:lineRule="auto"/>
        <w:ind w:left="945"/>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Ayodhya Development Authority (2023). Ayodhya Vision 2031.</w:t>
      </w:r>
    </w:p>
    <w:p w14:paraId="606886D9" w14:textId="77777777" w:rsidR="00C86B30" w:rsidRPr="00C86B30" w:rsidRDefault="00C86B30" w:rsidP="00C86B30">
      <w:pPr>
        <w:numPr>
          <w:ilvl w:val="0"/>
          <w:numId w:val="1"/>
        </w:numPr>
        <w:shd w:val="clear" w:color="auto" w:fill="FFFFFF"/>
        <w:spacing w:before="120" w:after="120" w:line="360" w:lineRule="auto"/>
        <w:ind w:left="945"/>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 xml:space="preserve">Supreme Court of India (2019). M. Siddiq (D) </w:t>
      </w:r>
      <w:proofErr w:type="spellStart"/>
      <w:r w:rsidRPr="00C86B30">
        <w:rPr>
          <w:rFonts w:ascii="Times New Roman" w:eastAsia="Times New Roman" w:hAnsi="Times New Roman" w:cs="Times New Roman"/>
          <w:color w:val="222222"/>
          <w:kern w:val="0"/>
          <w:sz w:val="24"/>
          <w:szCs w:val="24"/>
          <w:lang w:eastAsia="en-IN"/>
          <w14:ligatures w14:val="none"/>
        </w:rPr>
        <w:t>Thr</w:t>
      </w:r>
      <w:proofErr w:type="spellEnd"/>
      <w:r w:rsidRPr="00C86B30">
        <w:rPr>
          <w:rFonts w:ascii="Times New Roman" w:eastAsia="Times New Roman" w:hAnsi="Times New Roman" w:cs="Times New Roman"/>
          <w:color w:val="222222"/>
          <w:kern w:val="0"/>
          <w:sz w:val="24"/>
          <w:szCs w:val="24"/>
          <w:lang w:eastAsia="en-IN"/>
          <w14:ligatures w14:val="none"/>
        </w:rPr>
        <w:t xml:space="preserve">. </w:t>
      </w:r>
      <w:proofErr w:type="spellStart"/>
      <w:r w:rsidRPr="00C86B30">
        <w:rPr>
          <w:rFonts w:ascii="Times New Roman" w:eastAsia="Times New Roman" w:hAnsi="Times New Roman" w:cs="Times New Roman"/>
          <w:color w:val="222222"/>
          <w:kern w:val="0"/>
          <w:sz w:val="24"/>
          <w:szCs w:val="24"/>
          <w:lang w:eastAsia="en-IN"/>
          <w14:ligatures w14:val="none"/>
        </w:rPr>
        <w:t>Lrs</w:t>
      </w:r>
      <w:proofErr w:type="spellEnd"/>
      <w:r w:rsidRPr="00C86B30">
        <w:rPr>
          <w:rFonts w:ascii="Times New Roman" w:eastAsia="Times New Roman" w:hAnsi="Times New Roman" w:cs="Times New Roman"/>
          <w:color w:val="222222"/>
          <w:kern w:val="0"/>
          <w:sz w:val="24"/>
          <w:szCs w:val="24"/>
          <w:lang w:eastAsia="en-IN"/>
          <w14:ligatures w14:val="none"/>
        </w:rPr>
        <w:t>. v. Mahant Suresh Das.</w:t>
      </w:r>
    </w:p>
    <w:p w14:paraId="250A294C" w14:textId="77777777" w:rsidR="00C86B30" w:rsidRPr="00C86B30" w:rsidRDefault="00C86B30" w:rsidP="00C86B30">
      <w:pPr>
        <w:numPr>
          <w:ilvl w:val="0"/>
          <w:numId w:val="1"/>
        </w:numPr>
        <w:shd w:val="clear" w:color="auto" w:fill="FFFFFF"/>
        <w:spacing w:before="120" w:after="120" w:line="360" w:lineRule="auto"/>
        <w:ind w:left="945"/>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Knight Frank India (2024). Temple Cities and Urban Transformation.</w:t>
      </w:r>
    </w:p>
    <w:p w14:paraId="11DF02C2" w14:textId="77777777" w:rsidR="00C86B30" w:rsidRPr="00C86B30" w:rsidRDefault="00C86B30" w:rsidP="00C86B30">
      <w:pPr>
        <w:numPr>
          <w:ilvl w:val="0"/>
          <w:numId w:val="1"/>
        </w:numPr>
        <w:shd w:val="clear" w:color="auto" w:fill="FFFFFF"/>
        <w:spacing w:before="120" w:after="120" w:line="360" w:lineRule="auto"/>
        <w:ind w:left="945"/>
        <w:jc w:val="both"/>
        <w:rPr>
          <w:rFonts w:ascii="Times New Roman" w:eastAsia="Times New Roman" w:hAnsi="Times New Roman" w:cs="Times New Roman"/>
          <w:color w:val="222222"/>
          <w:kern w:val="0"/>
          <w:sz w:val="24"/>
          <w:szCs w:val="24"/>
          <w:lang w:eastAsia="en-IN"/>
          <w14:ligatures w14:val="none"/>
        </w:rPr>
      </w:pPr>
      <w:r w:rsidRPr="00C86B30">
        <w:rPr>
          <w:rFonts w:ascii="Times New Roman" w:eastAsia="Times New Roman" w:hAnsi="Times New Roman" w:cs="Times New Roman"/>
          <w:color w:val="222222"/>
          <w:kern w:val="0"/>
          <w:sz w:val="24"/>
          <w:szCs w:val="24"/>
          <w:lang w:eastAsia="en-IN"/>
          <w14:ligatures w14:val="none"/>
        </w:rPr>
        <w:t>Shri Ram Janmbhoomi Teerth Kshetra Trust (2024). Annual Report.</w:t>
      </w:r>
    </w:p>
    <w:p w14:paraId="2F24ED2D" w14:textId="77777777" w:rsidR="00DB0169" w:rsidRPr="00C86B30" w:rsidRDefault="00DB0169" w:rsidP="00C86B30">
      <w:pPr>
        <w:spacing w:before="120" w:after="120" w:line="360" w:lineRule="auto"/>
        <w:jc w:val="both"/>
        <w:rPr>
          <w:rFonts w:ascii="Times New Roman" w:hAnsi="Times New Roman" w:cs="Times New Roman"/>
          <w:sz w:val="24"/>
          <w:szCs w:val="24"/>
        </w:rPr>
      </w:pPr>
    </w:p>
    <w:sectPr w:rsidR="00DB0169" w:rsidRPr="00C86B3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1B04" w14:textId="77777777" w:rsidR="00C44287" w:rsidRDefault="00C44287" w:rsidP="00C86B30">
      <w:pPr>
        <w:spacing w:after="0" w:line="240" w:lineRule="auto"/>
      </w:pPr>
      <w:r>
        <w:separator/>
      </w:r>
    </w:p>
  </w:endnote>
  <w:endnote w:type="continuationSeparator" w:id="0">
    <w:p w14:paraId="3CDC3382" w14:textId="77777777" w:rsidR="00C44287" w:rsidRDefault="00C44287" w:rsidP="00C86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371735"/>
      <w:docPartObj>
        <w:docPartGallery w:val="Page Numbers (Bottom of Page)"/>
        <w:docPartUnique/>
      </w:docPartObj>
    </w:sdtPr>
    <w:sdtEndPr>
      <w:rPr>
        <w:noProof/>
      </w:rPr>
    </w:sdtEndPr>
    <w:sdtContent>
      <w:p w14:paraId="087A1277" w14:textId="30E52EB2" w:rsidR="00C86B30" w:rsidRDefault="00C86B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A301BC" w14:textId="77777777" w:rsidR="00C86B30" w:rsidRDefault="00C8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9C54" w14:textId="77777777" w:rsidR="00C44287" w:rsidRDefault="00C44287" w:rsidP="00C86B30">
      <w:pPr>
        <w:spacing w:after="0" w:line="240" w:lineRule="auto"/>
      </w:pPr>
      <w:r>
        <w:separator/>
      </w:r>
    </w:p>
  </w:footnote>
  <w:footnote w:type="continuationSeparator" w:id="0">
    <w:p w14:paraId="0ED13D5B" w14:textId="77777777" w:rsidR="00C44287" w:rsidRDefault="00C44287" w:rsidP="00C86B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35E48"/>
    <w:multiLevelType w:val="multilevel"/>
    <w:tmpl w:val="727EB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B30"/>
    <w:rsid w:val="004E3156"/>
    <w:rsid w:val="00C44287"/>
    <w:rsid w:val="00C86341"/>
    <w:rsid w:val="00C86B30"/>
    <w:rsid w:val="00DB01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268E"/>
  <w15:chartTrackingRefBased/>
  <w15:docId w15:val="{BAD1E411-6D54-46DF-AD29-72C1350A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6B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14:ligatures w14:val="none"/>
    </w:rPr>
  </w:style>
  <w:style w:type="paragraph" w:styleId="Heading2">
    <w:name w:val="heading 2"/>
    <w:basedOn w:val="Normal"/>
    <w:link w:val="Heading2Char"/>
    <w:uiPriority w:val="9"/>
    <w:qFormat/>
    <w:rsid w:val="00C86B3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link w:val="Heading3Char"/>
    <w:uiPriority w:val="9"/>
    <w:qFormat/>
    <w:rsid w:val="00C86B3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B30"/>
    <w:rPr>
      <w:rFonts w:ascii="Times New Roman" w:eastAsia="Times New Roman" w:hAnsi="Times New Roman" w:cs="Times New Roman"/>
      <w:b/>
      <w:bCs/>
      <w:kern w:val="36"/>
      <w:sz w:val="48"/>
      <w:szCs w:val="48"/>
      <w:lang w:eastAsia="en-IN"/>
      <w14:ligatures w14:val="none"/>
    </w:rPr>
  </w:style>
  <w:style w:type="character" w:customStyle="1" w:styleId="Heading2Char">
    <w:name w:val="Heading 2 Char"/>
    <w:basedOn w:val="DefaultParagraphFont"/>
    <w:link w:val="Heading2"/>
    <w:uiPriority w:val="9"/>
    <w:rsid w:val="00C86B30"/>
    <w:rPr>
      <w:rFonts w:ascii="Times New Roman" w:eastAsia="Times New Roman" w:hAnsi="Times New Roman" w:cs="Times New Roman"/>
      <w:b/>
      <w:bCs/>
      <w:kern w:val="0"/>
      <w:sz w:val="36"/>
      <w:szCs w:val="36"/>
      <w:lang w:eastAsia="en-IN"/>
      <w14:ligatures w14:val="none"/>
    </w:rPr>
  </w:style>
  <w:style w:type="character" w:customStyle="1" w:styleId="Heading3Char">
    <w:name w:val="Heading 3 Char"/>
    <w:basedOn w:val="DefaultParagraphFont"/>
    <w:link w:val="Heading3"/>
    <w:uiPriority w:val="9"/>
    <w:rsid w:val="00C86B30"/>
    <w:rPr>
      <w:rFonts w:ascii="Times New Roman" w:eastAsia="Times New Roman" w:hAnsi="Times New Roman" w:cs="Times New Roman"/>
      <w:b/>
      <w:bCs/>
      <w:kern w:val="0"/>
      <w:sz w:val="27"/>
      <w:szCs w:val="27"/>
      <w:lang w:eastAsia="en-IN"/>
      <w14:ligatures w14:val="none"/>
    </w:rPr>
  </w:style>
  <w:style w:type="paragraph" w:styleId="NormalWeb">
    <w:name w:val="Normal (Web)"/>
    <w:basedOn w:val="Normal"/>
    <w:uiPriority w:val="99"/>
    <w:semiHidden/>
    <w:unhideWhenUsed/>
    <w:rsid w:val="00C86B3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C86B30"/>
    <w:rPr>
      <w:color w:val="0563C1" w:themeColor="hyperlink"/>
      <w:u w:val="single"/>
    </w:rPr>
  </w:style>
  <w:style w:type="character" w:styleId="UnresolvedMention">
    <w:name w:val="Unresolved Mention"/>
    <w:basedOn w:val="DefaultParagraphFont"/>
    <w:uiPriority w:val="99"/>
    <w:semiHidden/>
    <w:unhideWhenUsed/>
    <w:rsid w:val="00C86B30"/>
    <w:rPr>
      <w:color w:val="605E5C"/>
      <w:shd w:val="clear" w:color="auto" w:fill="E1DFDD"/>
    </w:rPr>
  </w:style>
  <w:style w:type="paragraph" w:styleId="Header">
    <w:name w:val="header"/>
    <w:basedOn w:val="Normal"/>
    <w:link w:val="HeaderChar"/>
    <w:uiPriority w:val="99"/>
    <w:unhideWhenUsed/>
    <w:rsid w:val="00C86B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B30"/>
  </w:style>
  <w:style w:type="paragraph" w:styleId="Footer">
    <w:name w:val="footer"/>
    <w:basedOn w:val="Normal"/>
    <w:link w:val="FooterChar"/>
    <w:uiPriority w:val="99"/>
    <w:unhideWhenUsed/>
    <w:rsid w:val="00C86B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53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raju2008@gmail.com" TargetMode="External"/><Relationship Id="rId3" Type="http://schemas.openxmlformats.org/officeDocument/2006/relationships/settings" Target="settings.xml"/><Relationship Id="rId7" Type="http://schemas.openxmlformats.org/officeDocument/2006/relationships/hyperlink" Target="mailto:svenkat@iiml.a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gp14gopikag@iimrohtak.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1278</Words>
  <Characters>7286</Characters>
  <Application>Microsoft Office Word</Application>
  <DocSecurity>0</DocSecurity>
  <Lines>60</Lines>
  <Paragraphs>17</Paragraphs>
  <ScaleCrop>false</ScaleCrop>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IIMLNC</dc:creator>
  <cp:keywords/>
  <dc:description/>
  <cp:lastModifiedBy>SVENKAT ARAM</cp:lastModifiedBy>
  <cp:revision>2</cp:revision>
  <dcterms:created xsi:type="dcterms:W3CDTF">2026-02-17T18:56:00Z</dcterms:created>
  <dcterms:modified xsi:type="dcterms:W3CDTF">2026-02-17T18:56:00Z</dcterms:modified>
</cp:coreProperties>
</file>