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A1347" w14:textId="6101766C" w:rsidR="00D60B58" w:rsidRDefault="00D60B58" w:rsidP="003640EA">
      <w:pPr>
        <w:spacing w:before="100" w:beforeAutospacing="1" w:after="0" w:line="240" w:lineRule="auto"/>
        <w:jc w:val="center"/>
        <w:rPr>
          <w:rFonts w:ascii="Times New Roman" w:eastAsia="Times New Roman" w:hAnsi="Times New Roman" w:cs="Times New Roman"/>
          <w:b/>
          <w:bCs/>
          <w:color w:val="1F1F1F"/>
          <w:sz w:val="40"/>
          <w:szCs w:val="40"/>
          <w:bdr w:val="none" w:sz="0" w:space="0" w:color="auto" w:frame="1"/>
        </w:rPr>
      </w:pPr>
      <w:r w:rsidRPr="008E3F68">
        <w:rPr>
          <w:rFonts w:ascii="Times New Roman" w:eastAsia="Times New Roman" w:hAnsi="Times New Roman" w:cs="Times New Roman"/>
          <w:b/>
          <w:bCs/>
          <w:color w:val="1F1F1F"/>
          <w:sz w:val="40"/>
          <w:szCs w:val="40"/>
          <w:bdr w:val="none" w:sz="0" w:space="0" w:color="auto" w:frame="1"/>
        </w:rPr>
        <w:t xml:space="preserve">Between Two Iberias: </w:t>
      </w:r>
      <w:proofErr w:type="gramStart"/>
      <w:r w:rsidR="001D055F" w:rsidRPr="008E3F68">
        <w:rPr>
          <w:rFonts w:ascii="Times New Roman" w:eastAsia="Times New Roman" w:hAnsi="Times New Roman" w:cs="Times New Roman"/>
          <w:b/>
          <w:bCs/>
          <w:color w:val="1F1F1F"/>
          <w:sz w:val="40"/>
          <w:szCs w:val="40"/>
          <w:bdr w:val="none" w:sz="0" w:space="0" w:color="auto" w:frame="1"/>
        </w:rPr>
        <w:t>Spanish</w:t>
      </w:r>
      <w:r w:rsidR="001D055F" w:rsidRPr="008E3F68">
        <w:rPr>
          <w:rFonts w:ascii="Times New Roman" w:eastAsia="Times New Roman" w:hAnsi="Times New Roman" w:cs="Times New Roman"/>
          <w:b/>
          <w:bCs/>
          <w:color w:val="1F1F1F"/>
          <w:sz w:val="40"/>
          <w:szCs w:val="40"/>
          <w:bdr w:val="none" w:sz="0" w:space="0" w:color="auto" w:frame="1"/>
          <w:lang w:val="en-GB"/>
        </w:rPr>
        <w:t>-</w:t>
      </w:r>
      <w:r w:rsidR="001D055F" w:rsidRPr="008E3F68">
        <w:rPr>
          <w:rFonts w:ascii="Times New Roman" w:eastAsia="Times New Roman" w:hAnsi="Times New Roman" w:cs="Times New Roman"/>
          <w:b/>
          <w:bCs/>
          <w:color w:val="1F1F1F"/>
          <w:sz w:val="40"/>
          <w:szCs w:val="40"/>
          <w:bdr w:val="none" w:sz="0" w:space="0" w:color="auto" w:frame="1"/>
        </w:rPr>
        <w:t>Georgian</w:t>
      </w:r>
      <w:proofErr w:type="gramEnd"/>
      <w:r w:rsidRPr="008E3F68">
        <w:rPr>
          <w:rFonts w:ascii="Times New Roman" w:eastAsia="Times New Roman" w:hAnsi="Times New Roman" w:cs="Times New Roman"/>
          <w:b/>
          <w:bCs/>
          <w:color w:val="1F1F1F"/>
          <w:sz w:val="40"/>
          <w:szCs w:val="40"/>
          <w:bdr w:val="none" w:sz="0" w:space="0" w:color="auto" w:frame="1"/>
        </w:rPr>
        <w:t xml:space="preserve"> Diplomatic Contacts</w:t>
      </w:r>
      <w:r w:rsidR="003640EA" w:rsidRPr="008E3F68">
        <w:rPr>
          <w:rFonts w:ascii="Times New Roman" w:eastAsia="Times New Roman" w:hAnsi="Times New Roman" w:cs="Times New Roman"/>
          <w:b/>
          <w:bCs/>
          <w:color w:val="1F1F1F"/>
          <w:sz w:val="40"/>
          <w:szCs w:val="40"/>
          <w:bdr w:val="none" w:sz="0" w:space="0" w:color="auto" w:frame="1"/>
          <w:lang w:val="ka-GE"/>
        </w:rPr>
        <w:t xml:space="preserve"> </w:t>
      </w:r>
      <w:r w:rsidR="003640EA" w:rsidRPr="008E3F68">
        <w:rPr>
          <w:rFonts w:ascii="Times New Roman" w:eastAsia="Times New Roman" w:hAnsi="Times New Roman" w:cs="Times New Roman"/>
          <w:b/>
          <w:bCs/>
          <w:color w:val="1F1F1F"/>
          <w:sz w:val="40"/>
          <w:szCs w:val="40"/>
          <w:bdr w:val="none" w:sz="0" w:space="0" w:color="auto" w:frame="1"/>
        </w:rPr>
        <w:t xml:space="preserve">and the </w:t>
      </w:r>
      <w:r w:rsidR="005B714A" w:rsidRPr="008E3F68">
        <w:rPr>
          <w:rFonts w:ascii="Times New Roman" w:eastAsia="Times New Roman" w:hAnsi="Times New Roman" w:cs="Times New Roman"/>
          <w:b/>
          <w:bCs/>
          <w:color w:val="1F1F1F"/>
          <w:sz w:val="40"/>
          <w:szCs w:val="40"/>
          <w:bdr w:val="none" w:sz="0" w:space="0" w:color="auto" w:frame="1"/>
          <w:lang w:val="en-GB"/>
        </w:rPr>
        <w:t>construct</w:t>
      </w:r>
      <w:r w:rsidR="003640EA" w:rsidRPr="008E3F68">
        <w:rPr>
          <w:rFonts w:ascii="Times New Roman" w:eastAsia="Times New Roman" w:hAnsi="Times New Roman" w:cs="Times New Roman"/>
          <w:b/>
          <w:bCs/>
          <w:color w:val="1F1F1F"/>
          <w:sz w:val="40"/>
          <w:szCs w:val="40"/>
          <w:bdr w:val="none" w:sz="0" w:space="0" w:color="auto" w:frame="1"/>
        </w:rPr>
        <w:t xml:space="preserve"> of Ancestral </w:t>
      </w:r>
      <w:r w:rsidR="001D055F" w:rsidRPr="008E3F68">
        <w:rPr>
          <w:rFonts w:ascii="Times New Roman" w:eastAsia="Times New Roman" w:hAnsi="Times New Roman" w:cs="Times New Roman"/>
          <w:b/>
          <w:bCs/>
          <w:color w:val="1F1F1F"/>
          <w:sz w:val="40"/>
          <w:szCs w:val="40"/>
          <w:bdr w:val="none" w:sz="0" w:space="0" w:color="auto" w:frame="1"/>
        </w:rPr>
        <w:t>K</w:t>
      </w:r>
      <w:r w:rsidR="003640EA" w:rsidRPr="008E3F68">
        <w:rPr>
          <w:rFonts w:ascii="Times New Roman" w:eastAsia="Times New Roman" w:hAnsi="Times New Roman" w:cs="Times New Roman"/>
          <w:b/>
          <w:bCs/>
          <w:color w:val="1F1F1F"/>
          <w:sz w:val="40"/>
          <w:szCs w:val="40"/>
          <w:bdr w:val="none" w:sz="0" w:space="0" w:color="auto" w:frame="1"/>
        </w:rPr>
        <w:t>inship</w:t>
      </w:r>
      <w:r w:rsidRPr="008E3F68">
        <w:rPr>
          <w:rFonts w:ascii="Times New Roman" w:eastAsia="Times New Roman" w:hAnsi="Times New Roman" w:cs="Times New Roman"/>
          <w:b/>
          <w:bCs/>
          <w:color w:val="1F1F1F"/>
          <w:sz w:val="40"/>
          <w:szCs w:val="40"/>
          <w:bdr w:val="none" w:sz="0" w:space="0" w:color="auto" w:frame="1"/>
        </w:rPr>
        <w:t xml:space="preserve"> (1475</w:t>
      </w:r>
      <w:r w:rsidR="00865E44" w:rsidRPr="008E3F68">
        <w:rPr>
          <w:rFonts w:ascii="Times New Roman" w:eastAsia="Times New Roman" w:hAnsi="Times New Roman" w:cs="Times New Roman"/>
          <w:b/>
          <w:bCs/>
          <w:color w:val="1F1F1F"/>
          <w:sz w:val="40"/>
          <w:szCs w:val="40"/>
          <w:bdr w:val="none" w:sz="0" w:space="0" w:color="auto" w:frame="1"/>
        </w:rPr>
        <w:t>-</w:t>
      </w:r>
      <w:r w:rsidRPr="008E3F68">
        <w:rPr>
          <w:rFonts w:ascii="Times New Roman" w:eastAsia="Times New Roman" w:hAnsi="Times New Roman" w:cs="Times New Roman"/>
          <w:b/>
          <w:bCs/>
          <w:color w:val="1F1F1F"/>
          <w:sz w:val="40"/>
          <w:szCs w:val="40"/>
          <w:bdr w:val="none" w:sz="0" w:space="0" w:color="auto" w:frame="1"/>
        </w:rPr>
        <w:t>1500</w:t>
      </w:r>
      <w:r w:rsidR="008E3F68">
        <w:rPr>
          <w:rFonts w:ascii="Times New Roman" w:eastAsia="Times New Roman" w:hAnsi="Times New Roman" w:cs="Times New Roman"/>
          <w:b/>
          <w:bCs/>
          <w:color w:val="1F1F1F"/>
          <w:sz w:val="40"/>
          <w:szCs w:val="40"/>
          <w:bdr w:val="none" w:sz="0" w:space="0" w:color="auto" w:frame="1"/>
        </w:rPr>
        <w:t>)</w:t>
      </w:r>
    </w:p>
    <w:p w14:paraId="0F99B9FC" w14:textId="7C521412" w:rsidR="008E3F68" w:rsidRDefault="008E3F68" w:rsidP="00521C87">
      <w:pPr>
        <w:spacing w:before="100" w:beforeAutospacing="1" w:after="0" w:line="240" w:lineRule="auto"/>
        <w:jc w:val="right"/>
        <w:rPr>
          <w:rFonts w:ascii="Times New Roman" w:eastAsia="Times New Roman" w:hAnsi="Times New Roman" w:cs="Times New Roman"/>
          <w:b/>
          <w:bCs/>
          <w:color w:val="1F1F1F"/>
          <w:bdr w:val="none" w:sz="0" w:space="0" w:color="auto" w:frame="1"/>
        </w:rPr>
      </w:pPr>
      <w:r>
        <w:rPr>
          <w:rFonts w:ascii="Times New Roman" w:eastAsia="Times New Roman" w:hAnsi="Times New Roman" w:cs="Times New Roman"/>
          <w:b/>
          <w:bCs/>
          <w:color w:val="1F1F1F"/>
          <w:bdr w:val="none" w:sz="0" w:space="0" w:color="auto" w:frame="1"/>
        </w:rPr>
        <w:t>Jondi Khukhia</w:t>
      </w:r>
    </w:p>
    <w:p w14:paraId="62682C42" w14:textId="39BEA840" w:rsidR="008E3F68" w:rsidRPr="008E3F68" w:rsidRDefault="008E3F68" w:rsidP="00521C87">
      <w:pPr>
        <w:spacing w:before="100" w:beforeAutospacing="1" w:after="0" w:line="240" w:lineRule="auto"/>
        <w:jc w:val="right"/>
        <w:rPr>
          <w:rFonts w:ascii="Times New Roman" w:eastAsia="Times New Roman" w:hAnsi="Times New Roman" w:cs="Times New Roman"/>
          <w:b/>
          <w:bCs/>
          <w:color w:val="1F1F1F"/>
          <w:sz w:val="20"/>
          <w:szCs w:val="20"/>
          <w:bdr w:val="none" w:sz="0" w:space="0" w:color="auto" w:frame="1"/>
        </w:rPr>
      </w:pPr>
      <w:r w:rsidRPr="008E3F68">
        <w:rPr>
          <w:rFonts w:ascii="Times New Roman" w:eastAsia="Times New Roman" w:hAnsi="Times New Roman" w:cs="Times New Roman"/>
          <w:b/>
          <w:bCs/>
          <w:color w:val="1F1F1F"/>
          <w:sz w:val="20"/>
          <w:szCs w:val="20"/>
          <w:bdr w:val="none" w:sz="0" w:space="0" w:color="auto" w:frame="1"/>
        </w:rPr>
        <w:t xml:space="preserve">Ivane Javakhishvili Tbilisi State </w:t>
      </w:r>
      <w:r w:rsidR="00521C87">
        <w:rPr>
          <w:rFonts w:ascii="Times New Roman" w:eastAsia="Times New Roman" w:hAnsi="Times New Roman" w:cs="Times New Roman"/>
          <w:b/>
          <w:bCs/>
          <w:color w:val="1F1F1F"/>
          <w:sz w:val="20"/>
          <w:szCs w:val="20"/>
          <w:bdr w:val="none" w:sz="0" w:space="0" w:color="auto" w:frame="1"/>
        </w:rPr>
        <w:t>U</w:t>
      </w:r>
      <w:r w:rsidRPr="008E3F68">
        <w:rPr>
          <w:rFonts w:ascii="Times New Roman" w:eastAsia="Times New Roman" w:hAnsi="Times New Roman" w:cs="Times New Roman"/>
          <w:b/>
          <w:bCs/>
          <w:color w:val="1F1F1F"/>
          <w:sz w:val="20"/>
          <w:szCs w:val="20"/>
          <w:bdr w:val="none" w:sz="0" w:space="0" w:color="auto" w:frame="1"/>
        </w:rPr>
        <w:t>niversity</w:t>
      </w:r>
    </w:p>
    <w:p w14:paraId="582B3C4A" w14:textId="4576FB3E" w:rsidR="008E3F68" w:rsidRPr="008E3F68" w:rsidRDefault="008E3F68" w:rsidP="008E3F68">
      <w:pPr>
        <w:pStyle w:val="AuthorInfo"/>
        <w:tabs>
          <w:tab w:val="clear" w:pos="8640"/>
        </w:tabs>
        <w:jc w:val="left"/>
        <w:rPr>
          <w:b/>
          <w:bCs/>
        </w:rPr>
      </w:pPr>
      <w:r w:rsidRPr="00A35F86">
        <w:rPr>
          <w:b/>
          <w:bCs/>
          <w:sz w:val="28"/>
          <w:szCs w:val="28"/>
        </w:rPr>
        <w:t>ABSTRACT</w:t>
      </w:r>
    </w:p>
    <w:p w14:paraId="18524F48" w14:textId="3464792C" w:rsidR="00D60B58" w:rsidRPr="008E3F68" w:rsidRDefault="00D60B58" w:rsidP="00D60B58">
      <w:pPr>
        <w:spacing w:before="100" w:beforeAutospacing="1" w:after="0" w:line="240" w:lineRule="auto"/>
        <w:jc w:val="both"/>
        <w:rPr>
          <w:rFonts w:ascii="Times New Roman" w:eastAsia="Times New Roman" w:hAnsi="Times New Roman" w:cs="Times New Roman"/>
          <w:color w:val="1F1F1F"/>
          <w:sz w:val="24"/>
          <w:szCs w:val="24"/>
        </w:rPr>
      </w:pPr>
      <w:r w:rsidRPr="008E3F68">
        <w:rPr>
          <w:rFonts w:ascii="Times New Roman" w:eastAsia="Times New Roman" w:hAnsi="Times New Roman" w:cs="Times New Roman"/>
          <w:color w:val="1F1F1F"/>
          <w:sz w:val="24"/>
          <w:szCs w:val="24"/>
          <w:bdr w:val="none" w:sz="0" w:space="0" w:color="auto" w:frame="1"/>
        </w:rPr>
        <w:t xml:space="preserve">The late fifteenth century witnessed profound transformations in Mediterranean political, religious, and diplomatic networks, shaped by Ottoman expansion, the fall of Constantinople, and the </w:t>
      </w:r>
      <w:r w:rsidR="004F3D63" w:rsidRPr="008E3F68">
        <w:rPr>
          <w:rFonts w:ascii="Times New Roman" w:eastAsia="Times New Roman" w:hAnsi="Times New Roman" w:cs="Times New Roman"/>
          <w:color w:val="1F1F1F"/>
          <w:sz w:val="24"/>
          <w:szCs w:val="24"/>
          <w:bdr w:val="none" w:sz="0" w:space="0" w:color="auto" w:frame="1"/>
        </w:rPr>
        <w:t>change</w:t>
      </w:r>
      <w:r w:rsidRPr="008E3F68">
        <w:rPr>
          <w:rFonts w:ascii="Times New Roman" w:eastAsia="Times New Roman" w:hAnsi="Times New Roman" w:cs="Times New Roman"/>
          <w:color w:val="1F1F1F"/>
          <w:sz w:val="24"/>
          <w:szCs w:val="24"/>
          <w:bdr w:val="none" w:sz="0" w:space="0" w:color="auto" w:frame="1"/>
        </w:rPr>
        <w:t xml:space="preserve"> of Christian powers across Europe and the Levant.</w:t>
      </w:r>
      <w:r w:rsidRPr="008E3F68">
        <w:rPr>
          <w:rFonts w:ascii="Times New Roman" w:eastAsia="Times New Roman" w:hAnsi="Times New Roman" w:cs="Times New Roman"/>
          <w:color w:val="1F1F1F"/>
          <w:sz w:val="24"/>
          <w:szCs w:val="24"/>
        </w:rPr>
        <w:t xml:space="preserve"> Within this context, relations between the Iberian kingdoms and the eastern Christian polities of the Caucasus</w:t>
      </w:r>
      <w:r w:rsidR="009960AC" w:rsidRPr="008E3F68">
        <w:rPr>
          <w:rFonts w:ascii="Times New Roman" w:eastAsia="Times New Roman" w:hAnsi="Times New Roman" w:cs="Times New Roman"/>
          <w:color w:val="1F1F1F"/>
          <w:sz w:val="24"/>
          <w:szCs w:val="24"/>
          <w:lang w:val="ka-GE"/>
        </w:rPr>
        <w:t xml:space="preserve"> </w:t>
      </w:r>
      <w:r w:rsidR="009960AC" w:rsidRPr="008E3F68">
        <w:rPr>
          <w:rFonts w:ascii="Times New Roman" w:hAnsi="Times New Roman" w:cs="Times New Roman"/>
          <w:sz w:val="24"/>
          <w:szCs w:val="24"/>
          <w:lang w:val="ka-GE"/>
        </w:rPr>
        <w:t xml:space="preserve">– </w:t>
      </w:r>
      <w:r w:rsidRPr="008E3F68">
        <w:rPr>
          <w:rFonts w:ascii="Times New Roman" w:eastAsia="Times New Roman" w:hAnsi="Times New Roman" w:cs="Times New Roman"/>
          <w:color w:val="1F1F1F"/>
          <w:sz w:val="24"/>
          <w:szCs w:val="24"/>
        </w:rPr>
        <w:t>particularly the Kingdom of Kartli</w:t>
      </w:r>
      <w:r w:rsidR="009960AC" w:rsidRPr="008E3F68">
        <w:rPr>
          <w:rFonts w:ascii="Times New Roman" w:eastAsia="Times New Roman" w:hAnsi="Times New Roman" w:cs="Times New Roman"/>
          <w:color w:val="1F1F1F"/>
          <w:sz w:val="24"/>
          <w:szCs w:val="24"/>
          <w:lang w:val="ka-GE"/>
        </w:rPr>
        <w:t xml:space="preserve"> </w:t>
      </w:r>
      <w:r w:rsidR="009960AC" w:rsidRPr="008E3F68">
        <w:rPr>
          <w:rFonts w:ascii="Times New Roman" w:hAnsi="Times New Roman" w:cs="Times New Roman"/>
          <w:sz w:val="24"/>
          <w:szCs w:val="24"/>
          <w:lang w:val="ka-GE"/>
        </w:rPr>
        <w:t xml:space="preserve">– </w:t>
      </w:r>
      <w:r w:rsidRPr="008E3F68">
        <w:rPr>
          <w:rFonts w:ascii="Times New Roman" w:eastAsia="Times New Roman" w:hAnsi="Times New Roman" w:cs="Times New Roman"/>
          <w:color w:val="1F1F1F"/>
          <w:sz w:val="24"/>
          <w:szCs w:val="24"/>
        </w:rPr>
        <w:t>remain an understudied aspect of late medieval history.</w:t>
      </w:r>
    </w:p>
    <w:p w14:paraId="70D2DEE2" w14:textId="460DE667" w:rsidR="00775AAC" w:rsidRPr="008E3F68" w:rsidRDefault="00775AAC" w:rsidP="00D60B58">
      <w:pPr>
        <w:spacing w:before="100" w:beforeAutospacing="1" w:after="0" w:line="240" w:lineRule="auto"/>
        <w:jc w:val="both"/>
        <w:rPr>
          <w:rFonts w:ascii="Times New Roman" w:hAnsi="Times New Roman" w:cs="Times New Roman"/>
          <w:sz w:val="24"/>
          <w:szCs w:val="24"/>
        </w:rPr>
      </w:pPr>
      <w:r w:rsidRPr="008E3F68">
        <w:rPr>
          <w:rFonts w:ascii="Times New Roman" w:hAnsi="Times New Roman" w:cs="Times New Roman"/>
          <w:sz w:val="24"/>
          <w:szCs w:val="24"/>
        </w:rPr>
        <w:t>This paper explores the nature and significance of Spanish-Georgian diplomatic interactions during the final quarter of the fifteenth century. In the course of this research, the method of complex analysis and the criticism of written sources were used, allowing the historical contextualization of documentary material; additionally, an interdisciplinary approach were utilized to determine the interconnectedness of political narratives and ideological constructions. It argues that these contacts were not isolated or symbolic but formed part of wider trans-Mediterranean strategies aimed at preserving Christian presence, pilgrimage routes and political influence.</w:t>
      </w:r>
    </w:p>
    <w:p w14:paraId="3D4B473B" w14:textId="2BC376F9" w:rsidR="00D60B58" w:rsidRPr="008E3F68" w:rsidRDefault="00D60B58" w:rsidP="00D60B58">
      <w:pPr>
        <w:spacing w:before="100" w:beforeAutospacing="1" w:after="0" w:line="240" w:lineRule="auto"/>
        <w:jc w:val="both"/>
        <w:rPr>
          <w:rFonts w:ascii="Times New Roman" w:eastAsia="Times New Roman" w:hAnsi="Times New Roman" w:cs="Times New Roman"/>
          <w:color w:val="1F1F1F"/>
          <w:sz w:val="24"/>
          <w:szCs w:val="24"/>
        </w:rPr>
      </w:pPr>
      <w:r w:rsidRPr="008E3F68">
        <w:rPr>
          <w:rFonts w:ascii="Times New Roman" w:eastAsia="Times New Roman" w:hAnsi="Times New Roman" w:cs="Times New Roman"/>
          <w:color w:val="1F1F1F"/>
          <w:sz w:val="24"/>
          <w:szCs w:val="24"/>
        </w:rPr>
        <w:t>Drawing upon the</w:t>
      </w:r>
      <w:r w:rsidR="00521C87">
        <w:rPr>
          <w:rFonts w:ascii="Times New Roman" w:eastAsia="Times New Roman" w:hAnsi="Times New Roman" w:cs="Times New Roman"/>
          <w:color w:val="1F1F1F"/>
          <w:sz w:val="24"/>
          <w:szCs w:val="24"/>
        </w:rPr>
        <w:t xml:space="preserve"> “</w:t>
      </w:r>
      <w:r w:rsidR="00521C87" w:rsidRPr="00521C87">
        <w:rPr>
          <w:rFonts w:eastAsia="Times New Roman" w:cs="Times New Roman"/>
          <w:i/>
          <w:iCs/>
          <w:color w:val="1F1F1F"/>
          <w:sz w:val="24"/>
          <w:szCs w:val="24"/>
          <w:lang w:val="en-GB"/>
        </w:rPr>
        <w:t>Opus Epistolarum</w:t>
      </w:r>
      <w:r w:rsidR="00521C87">
        <w:rPr>
          <w:rFonts w:eastAsia="Times New Roman" w:cs="Times New Roman"/>
          <w:color w:val="1F1F1F"/>
          <w:sz w:val="24"/>
          <w:szCs w:val="24"/>
          <w:lang w:val="en-GB"/>
        </w:rPr>
        <w:t>”</w:t>
      </w:r>
      <w:r w:rsidR="00521C87">
        <w:rPr>
          <w:rFonts w:ascii="Times New Roman" w:eastAsia="Times New Roman" w:hAnsi="Times New Roman" w:cs="Times New Roman"/>
          <w:color w:val="1F1F1F"/>
          <w:sz w:val="24"/>
          <w:szCs w:val="24"/>
          <w:lang w:val="ka-GE"/>
        </w:rPr>
        <w:t xml:space="preserve"> </w:t>
      </w:r>
      <w:r w:rsidRPr="008E3F68">
        <w:rPr>
          <w:rFonts w:ascii="Times New Roman" w:eastAsia="Times New Roman" w:hAnsi="Times New Roman" w:cs="Times New Roman"/>
          <w:color w:val="1F1F1F"/>
          <w:sz w:val="24"/>
          <w:szCs w:val="24"/>
        </w:rPr>
        <w:t xml:space="preserve">of Peter Martyr for the 1490s and the chronicles of Enríquez del Castillo for the earlier period, the research examines how the arrival of Georgian envoys, such as Nilo and Zakaria, was interpreted at the Spanish court. By cross-referencing these accounts with the genealogical arguments in Alfonso de </w:t>
      </w:r>
      <w:proofErr w:type="gramStart"/>
      <w:r w:rsidRPr="008E3F68">
        <w:rPr>
          <w:rFonts w:ascii="Times New Roman" w:eastAsia="Times New Roman" w:hAnsi="Times New Roman" w:cs="Times New Roman"/>
          <w:color w:val="1F1F1F"/>
          <w:sz w:val="24"/>
          <w:szCs w:val="24"/>
        </w:rPr>
        <w:t>Cartagena’s</w:t>
      </w:r>
      <w:r w:rsidR="00521C87">
        <w:rPr>
          <w:rFonts w:ascii="Sylfaen" w:eastAsia="Times New Roman" w:hAnsi="Sylfaen" w:cs="Times New Roman"/>
          <w:color w:val="1F1F1F"/>
          <w:sz w:val="24"/>
          <w:szCs w:val="24"/>
        </w:rPr>
        <w:t xml:space="preserve">  “</w:t>
      </w:r>
      <w:proofErr w:type="gramEnd"/>
      <w:r w:rsidR="00521C87" w:rsidRPr="00392855">
        <w:rPr>
          <w:rFonts w:ascii="Sylfaen" w:eastAsia="Times New Roman" w:hAnsi="Sylfaen" w:cs="Times New Roman"/>
          <w:i/>
          <w:iCs/>
          <w:color w:val="1F1F1F"/>
          <w:sz w:val="24"/>
          <w:szCs w:val="24"/>
          <w:lang w:val="en-GB"/>
        </w:rPr>
        <w:t>Anacephaleosis</w:t>
      </w:r>
      <w:r w:rsidR="00521C87">
        <w:rPr>
          <w:rFonts w:ascii="Sylfaen" w:eastAsia="Times New Roman" w:hAnsi="Sylfaen" w:cs="Times New Roman"/>
          <w:color w:val="1F1F1F"/>
          <w:sz w:val="24"/>
          <w:szCs w:val="24"/>
          <w:lang w:val="en-GB"/>
        </w:rPr>
        <w:t>”</w:t>
      </w:r>
      <w:r w:rsidRPr="008E3F68">
        <w:rPr>
          <w:rFonts w:ascii="Times New Roman" w:eastAsia="Times New Roman" w:hAnsi="Times New Roman" w:cs="Times New Roman"/>
          <w:color w:val="1F1F1F"/>
          <w:sz w:val="24"/>
          <w:szCs w:val="24"/>
        </w:rPr>
        <w:t xml:space="preserve">, the study demonstrates how the </w:t>
      </w:r>
      <w:r w:rsidR="00521C87">
        <w:rPr>
          <w:rFonts w:eastAsia="Times New Roman" w:cs="Times New Roman"/>
          <w:color w:val="1F1F1F"/>
          <w:sz w:val="24"/>
          <w:szCs w:val="24"/>
        </w:rPr>
        <w:t>“</w:t>
      </w:r>
      <w:r w:rsidRPr="008E3F68">
        <w:rPr>
          <w:rFonts w:ascii="Times New Roman" w:eastAsia="Times New Roman" w:hAnsi="Times New Roman" w:cs="Times New Roman"/>
          <w:color w:val="1F1F1F"/>
          <w:sz w:val="24"/>
          <w:szCs w:val="24"/>
        </w:rPr>
        <w:t>Tubal</w:t>
      </w:r>
      <w:r w:rsidR="00521C87">
        <w:rPr>
          <w:rFonts w:ascii="Times New Roman" w:eastAsia="Times New Roman" w:hAnsi="Times New Roman" w:cs="Times New Roman"/>
          <w:color w:val="1F1F1F"/>
          <w:sz w:val="24"/>
          <w:szCs w:val="24"/>
        </w:rPr>
        <w:t>”</w:t>
      </w:r>
      <w:r w:rsidRPr="008E3F68">
        <w:rPr>
          <w:rFonts w:ascii="Times New Roman" w:eastAsia="Times New Roman" w:hAnsi="Times New Roman" w:cs="Times New Roman"/>
          <w:color w:val="1F1F1F"/>
          <w:sz w:val="24"/>
          <w:szCs w:val="24"/>
        </w:rPr>
        <w:t xml:space="preserve"> myth transformed these distant polities into</w:t>
      </w:r>
      <w:r w:rsidR="00521C87">
        <w:rPr>
          <w:rFonts w:ascii="Times New Roman" w:eastAsia="Times New Roman" w:hAnsi="Times New Roman" w:cs="Times New Roman"/>
          <w:color w:val="1F1F1F"/>
          <w:sz w:val="24"/>
          <w:szCs w:val="24"/>
        </w:rPr>
        <w:t xml:space="preserve"> “</w:t>
      </w:r>
      <w:r w:rsidRPr="008E3F68">
        <w:rPr>
          <w:rFonts w:ascii="Times New Roman" w:eastAsia="Times New Roman" w:hAnsi="Times New Roman" w:cs="Times New Roman"/>
          <w:color w:val="1F1F1F"/>
          <w:sz w:val="24"/>
          <w:szCs w:val="24"/>
        </w:rPr>
        <w:t>Japhethic kin</w:t>
      </w:r>
      <w:r w:rsidR="00865E44" w:rsidRPr="008E3F68">
        <w:rPr>
          <w:rFonts w:ascii="Times New Roman" w:eastAsia="Times New Roman" w:hAnsi="Times New Roman" w:cs="Times New Roman"/>
          <w:color w:val="1F1F1F"/>
          <w:sz w:val="24"/>
          <w:szCs w:val="24"/>
        </w:rPr>
        <w:t>.</w:t>
      </w:r>
      <w:r w:rsidR="00521C87">
        <w:rPr>
          <w:rFonts w:ascii="Times New Roman" w:eastAsia="Times New Roman" w:hAnsi="Times New Roman" w:cs="Times New Roman"/>
          <w:color w:val="1F1F1F"/>
          <w:sz w:val="24"/>
          <w:szCs w:val="24"/>
        </w:rPr>
        <w:t>”</w:t>
      </w:r>
      <w:r w:rsidR="00865E44" w:rsidRPr="008E3F68">
        <w:rPr>
          <w:rFonts w:ascii="Times New Roman" w:eastAsia="Times New Roman" w:hAnsi="Times New Roman" w:cs="Times New Roman"/>
          <w:color w:val="1F1F1F"/>
          <w:sz w:val="24"/>
          <w:szCs w:val="24"/>
        </w:rPr>
        <w:t xml:space="preserve"> </w:t>
      </w:r>
      <w:r w:rsidRPr="008E3F68">
        <w:rPr>
          <w:rFonts w:ascii="Times New Roman" w:eastAsia="Times New Roman" w:hAnsi="Times New Roman" w:cs="Times New Roman"/>
          <w:color w:val="1F1F1F"/>
          <w:sz w:val="24"/>
          <w:szCs w:val="24"/>
        </w:rPr>
        <w:t xml:space="preserve">This research contributes to </w:t>
      </w:r>
      <w:r w:rsidR="00C01289" w:rsidRPr="008E3F68">
        <w:rPr>
          <w:rFonts w:ascii="Times New Roman" w:eastAsia="Times New Roman" w:hAnsi="Times New Roman" w:cs="Times New Roman"/>
          <w:color w:val="1F1F1F"/>
          <w:sz w:val="24"/>
          <w:szCs w:val="24"/>
        </w:rPr>
        <w:t>our understanding of</w:t>
      </w:r>
      <w:r w:rsidRPr="008E3F68">
        <w:rPr>
          <w:rFonts w:ascii="Times New Roman" w:eastAsia="Times New Roman" w:hAnsi="Times New Roman" w:cs="Times New Roman"/>
          <w:color w:val="1F1F1F"/>
          <w:sz w:val="24"/>
          <w:szCs w:val="24"/>
        </w:rPr>
        <w:t xml:space="preserve"> cross-cultural connectivity in the late medieval Mediterranean, highlighting the importance of frontier Christian kingdoms in shaping Iberian worldviews</w:t>
      </w:r>
      <w:r w:rsidR="00FF6AE1" w:rsidRPr="008E3F68">
        <w:rPr>
          <w:rFonts w:ascii="Times New Roman" w:eastAsia="Times New Roman" w:hAnsi="Times New Roman" w:cs="Times New Roman"/>
          <w:color w:val="1F1F1F"/>
          <w:sz w:val="24"/>
          <w:szCs w:val="24"/>
        </w:rPr>
        <w:t>.</w:t>
      </w:r>
    </w:p>
    <w:p w14:paraId="0BF878FB" w14:textId="0669201F" w:rsidR="00D60B58" w:rsidRPr="008E3F68" w:rsidRDefault="00D60B58" w:rsidP="00D60B58">
      <w:pPr>
        <w:spacing w:after="120" w:line="240" w:lineRule="auto"/>
        <w:jc w:val="both"/>
        <w:rPr>
          <w:rFonts w:ascii="Times New Roman" w:eastAsia="Times New Roman" w:hAnsi="Times New Roman" w:cs="Times New Roman"/>
          <w:color w:val="1F1F1F"/>
          <w:sz w:val="24"/>
          <w:szCs w:val="24"/>
        </w:rPr>
      </w:pPr>
    </w:p>
    <w:p w14:paraId="09BC08E8" w14:textId="691DB001" w:rsidR="003B45FB" w:rsidRDefault="00C863CA" w:rsidP="00D60B58">
      <w:pPr>
        <w:pStyle w:val="NormalWeb"/>
        <w:jc w:val="both"/>
      </w:pPr>
      <w:r w:rsidRPr="008E3F68">
        <w:rPr>
          <w:b/>
          <w:bCs/>
        </w:rPr>
        <w:t>Key words:</w:t>
      </w:r>
      <w:r w:rsidRPr="008E3F68">
        <w:t xml:space="preserve"> </w:t>
      </w:r>
      <w:r w:rsidR="003B45FB" w:rsidRPr="003B45FB">
        <w:t xml:space="preserve">Ancestral Kinship; Kingdom of Kartli; Late Medieval Mediterranean; Ottoman Expansion; </w:t>
      </w:r>
      <w:proofErr w:type="gramStart"/>
      <w:r w:rsidR="003B45FB" w:rsidRPr="003B45FB">
        <w:t>Spanish-Georgian</w:t>
      </w:r>
      <w:proofErr w:type="gramEnd"/>
      <w:r w:rsidR="003B45FB" w:rsidRPr="003B45FB">
        <w:t xml:space="preserve"> Diplomacy.</w:t>
      </w:r>
    </w:p>
    <w:p w14:paraId="248D78B4" w14:textId="77777777" w:rsidR="003B45FB" w:rsidRDefault="003B45FB" w:rsidP="00D60B58">
      <w:pPr>
        <w:pStyle w:val="NormalWeb"/>
        <w:jc w:val="both"/>
      </w:pPr>
    </w:p>
    <w:p w14:paraId="7606C25C" w14:textId="3CEA6A9D" w:rsidR="003B45FB" w:rsidRPr="008E3F68" w:rsidRDefault="003B45FB" w:rsidP="00D60B58">
      <w:pPr>
        <w:pStyle w:val="NormalWeb"/>
        <w:jc w:val="both"/>
      </w:pPr>
      <w:r w:rsidRPr="003B45FB">
        <w:rPr>
          <w:b/>
          <w:bCs/>
        </w:rPr>
        <w:t>The research PHDF-25-5026 has been supported by Shota Rustaveli National Science Foundation of Georgia (SRNSFG).</w:t>
      </w:r>
    </w:p>
    <w:sectPr w:rsidR="003B45FB" w:rsidRPr="008E3F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E2D0E" w14:textId="77777777" w:rsidR="00885C7E" w:rsidRDefault="00885C7E" w:rsidP="004A032D">
      <w:pPr>
        <w:spacing w:after="0" w:line="240" w:lineRule="auto"/>
      </w:pPr>
      <w:r>
        <w:separator/>
      </w:r>
    </w:p>
  </w:endnote>
  <w:endnote w:type="continuationSeparator" w:id="0">
    <w:p w14:paraId="2E6AAFC9" w14:textId="77777777" w:rsidR="00885C7E" w:rsidRDefault="00885C7E" w:rsidP="004A0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A5A26" w14:textId="77777777" w:rsidR="00885C7E" w:rsidRDefault="00885C7E" w:rsidP="004A032D">
      <w:pPr>
        <w:spacing w:after="0" w:line="240" w:lineRule="auto"/>
      </w:pPr>
      <w:r>
        <w:separator/>
      </w:r>
    </w:p>
  </w:footnote>
  <w:footnote w:type="continuationSeparator" w:id="0">
    <w:p w14:paraId="0C61CE6D" w14:textId="77777777" w:rsidR="00885C7E" w:rsidRDefault="00885C7E" w:rsidP="004A03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60045"/>
    <w:multiLevelType w:val="multilevel"/>
    <w:tmpl w:val="0380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265758"/>
    <w:multiLevelType w:val="multilevel"/>
    <w:tmpl w:val="39BC3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301041">
    <w:abstractNumId w:val="0"/>
  </w:num>
  <w:num w:numId="2" w16cid:durableId="2063169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BD6"/>
    <w:rsid w:val="00010FA6"/>
    <w:rsid w:val="00085C79"/>
    <w:rsid w:val="0014594B"/>
    <w:rsid w:val="001512A0"/>
    <w:rsid w:val="00176BD6"/>
    <w:rsid w:val="00187FA1"/>
    <w:rsid w:val="001D055F"/>
    <w:rsid w:val="002E38B1"/>
    <w:rsid w:val="003640EA"/>
    <w:rsid w:val="00390C64"/>
    <w:rsid w:val="00392855"/>
    <w:rsid w:val="003B45FB"/>
    <w:rsid w:val="004A032D"/>
    <w:rsid w:val="004F3D63"/>
    <w:rsid w:val="00521C87"/>
    <w:rsid w:val="005B714A"/>
    <w:rsid w:val="006E4ED4"/>
    <w:rsid w:val="00775AAC"/>
    <w:rsid w:val="00865E44"/>
    <w:rsid w:val="00885C7E"/>
    <w:rsid w:val="008A58FC"/>
    <w:rsid w:val="008E3F68"/>
    <w:rsid w:val="0095469B"/>
    <w:rsid w:val="009960AC"/>
    <w:rsid w:val="009A159A"/>
    <w:rsid w:val="00B33703"/>
    <w:rsid w:val="00C01289"/>
    <w:rsid w:val="00C56E38"/>
    <w:rsid w:val="00C63ED2"/>
    <w:rsid w:val="00C811FF"/>
    <w:rsid w:val="00C863CA"/>
    <w:rsid w:val="00CE581E"/>
    <w:rsid w:val="00D34A59"/>
    <w:rsid w:val="00D60B58"/>
    <w:rsid w:val="00DC3248"/>
    <w:rsid w:val="00F94501"/>
    <w:rsid w:val="00FF6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39E5"/>
  <w15:chartTrackingRefBased/>
  <w15:docId w15:val="{6EC9C631-48B3-41FA-A140-9F57AA09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60B5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3E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D60B58"/>
    <w:rPr>
      <w:rFonts w:ascii="Times New Roman" w:eastAsia="Times New Roman" w:hAnsi="Times New Roman" w:cs="Times New Roman"/>
      <w:b/>
      <w:bCs/>
      <w:sz w:val="27"/>
      <w:szCs w:val="27"/>
    </w:rPr>
  </w:style>
  <w:style w:type="character" w:customStyle="1" w:styleId="citation-25">
    <w:name w:val="citation-25"/>
    <w:basedOn w:val="DefaultParagraphFont"/>
    <w:rsid w:val="00D60B58"/>
  </w:style>
  <w:style w:type="paragraph" w:styleId="Header">
    <w:name w:val="header"/>
    <w:basedOn w:val="Normal"/>
    <w:link w:val="HeaderChar"/>
    <w:uiPriority w:val="99"/>
    <w:unhideWhenUsed/>
    <w:rsid w:val="004A03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32D"/>
  </w:style>
  <w:style w:type="paragraph" w:styleId="Footer">
    <w:name w:val="footer"/>
    <w:basedOn w:val="Normal"/>
    <w:link w:val="FooterChar"/>
    <w:uiPriority w:val="99"/>
    <w:unhideWhenUsed/>
    <w:rsid w:val="004A03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32D"/>
  </w:style>
  <w:style w:type="paragraph" w:customStyle="1" w:styleId="AuthorInfo">
    <w:name w:val="Author Info"/>
    <w:basedOn w:val="Normal"/>
    <w:rsid w:val="008E3F68"/>
    <w:pPr>
      <w:tabs>
        <w:tab w:val="right" w:pos="8640"/>
      </w:tabs>
      <w:spacing w:after="0" w:line="480" w:lineRule="auto"/>
      <w:jc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410504">
      <w:bodyDiv w:val="1"/>
      <w:marLeft w:val="0"/>
      <w:marRight w:val="0"/>
      <w:marTop w:val="0"/>
      <w:marBottom w:val="0"/>
      <w:divBdr>
        <w:top w:val="none" w:sz="0" w:space="0" w:color="auto"/>
        <w:left w:val="none" w:sz="0" w:space="0" w:color="auto"/>
        <w:bottom w:val="none" w:sz="0" w:space="0" w:color="auto"/>
        <w:right w:val="none" w:sz="0" w:space="0" w:color="auto"/>
      </w:divBdr>
    </w:div>
    <w:div w:id="252321166">
      <w:bodyDiv w:val="1"/>
      <w:marLeft w:val="0"/>
      <w:marRight w:val="0"/>
      <w:marTop w:val="0"/>
      <w:marBottom w:val="0"/>
      <w:divBdr>
        <w:top w:val="none" w:sz="0" w:space="0" w:color="auto"/>
        <w:left w:val="none" w:sz="0" w:space="0" w:color="auto"/>
        <w:bottom w:val="none" w:sz="0" w:space="0" w:color="auto"/>
        <w:right w:val="none" w:sz="0" w:space="0" w:color="auto"/>
      </w:divBdr>
    </w:div>
    <w:div w:id="27675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F27A6-754E-4275-A05C-A1DD73C92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Jondi Khukhia</dc:creator>
  <cp:keywords/>
  <dc:description/>
  <cp:lastModifiedBy>JKH</cp:lastModifiedBy>
  <cp:revision>11</cp:revision>
  <dcterms:created xsi:type="dcterms:W3CDTF">2026-02-05T07:48:00Z</dcterms:created>
  <dcterms:modified xsi:type="dcterms:W3CDTF">2026-04-06T16:19:00Z</dcterms:modified>
</cp:coreProperties>
</file>