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F40D" w14:textId="19F21CF8" w:rsidR="0035132F" w:rsidRPr="0035132F" w:rsidRDefault="0035132F" w:rsidP="0035132F">
      <w:pPr>
        <w:jc w:val="center"/>
        <w:rPr>
          <w:lang w:val="en-GB"/>
        </w:rPr>
      </w:pPr>
      <w:r w:rsidRPr="0035132F">
        <w:rPr>
          <w:b/>
          <w:bCs/>
          <w:lang w:val="en-GB"/>
        </w:rPr>
        <w:t>Shockproof Tech Trade? Evidence from the US, China, and the EU</w:t>
      </w:r>
    </w:p>
    <w:p w14:paraId="500E5896" w14:textId="784E176E" w:rsidR="0035132F" w:rsidRPr="0035132F" w:rsidRDefault="0035132F" w:rsidP="0035132F">
      <w:pPr>
        <w:jc w:val="center"/>
        <w:rPr>
          <w:lang w:val="en-GB"/>
        </w:rPr>
      </w:pPr>
      <w:r w:rsidRPr="0035132F">
        <w:rPr>
          <w:lang w:val="en-GB"/>
        </w:rPr>
        <w:t>Ewa Cieślik</w:t>
      </w:r>
    </w:p>
    <w:p w14:paraId="51694ADF" w14:textId="66E5BFC9" w:rsidR="0035132F" w:rsidRPr="0035132F" w:rsidRDefault="0035132F" w:rsidP="0035132F">
      <w:pPr>
        <w:jc w:val="center"/>
        <w:rPr>
          <w:lang w:val="en-GB"/>
        </w:rPr>
      </w:pPr>
      <w:r w:rsidRPr="0035132F">
        <w:rPr>
          <w:lang w:val="en-GB"/>
        </w:rPr>
        <w:t>Associate Professor</w:t>
      </w:r>
    </w:p>
    <w:p w14:paraId="4F6A1D09" w14:textId="16FB605B" w:rsidR="0035132F" w:rsidRPr="0035132F" w:rsidRDefault="0035132F" w:rsidP="0035132F">
      <w:pPr>
        <w:jc w:val="center"/>
        <w:rPr>
          <w:lang w:val="en-GB"/>
        </w:rPr>
      </w:pPr>
      <w:r w:rsidRPr="0035132F">
        <w:rPr>
          <w:lang w:val="en-GB"/>
        </w:rPr>
        <w:t>Poznan University of Economics and Business</w:t>
      </w:r>
    </w:p>
    <w:p w14:paraId="34E8BBCF" w14:textId="44AC50D6" w:rsidR="0035132F" w:rsidRPr="0035132F" w:rsidRDefault="0035132F" w:rsidP="0035132F">
      <w:pPr>
        <w:jc w:val="center"/>
        <w:rPr>
          <w:lang w:val="en-GB"/>
        </w:rPr>
      </w:pPr>
      <w:r w:rsidRPr="0035132F">
        <w:rPr>
          <w:lang w:val="en-GB"/>
        </w:rPr>
        <w:t>Poland</w:t>
      </w:r>
    </w:p>
    <w:p w14:paraId="5F79D05C" w14:textId="21A5EA0D" w:rsidR="0035132F" w:rsidRPr="0035132F" w:rsidRDefault="0035132F" w:rsidP="0035132F">
      <w:pPr>
        <w:jc w:val="center"/>
        <w:rPr>
          <w:lang w:val="en-GB"/>
        </w:rPr>
      </w:pPr>
      <w:r w:rsidRPr="0035132F">
        <w:rPr>
          <w:lang w:val="en-GB"/>
        </w:rPr>
        <w:t>e-mail: ewa.cieslik@ue.poznan.pl</w:t>
      </w:r>
    </w:p>
    <w:p w14:paraId="5F3B434B" w14:textId="7510B30F" w:rsidR="0035132F" w:rsidRPr="0035132F" w:rsidRDefault="0035132F" w:rsidP="0035132F">
      <w:pPr>
        <w:jc w:val="center"/>
        <w:rPr>
          <w:lang w:val="en-GB"/>
        </w:rPr>
      </w:pPr>
      <w:r w:rsidRPr="0035132F">
        <w:rPr>
          <w:lang w:val="en-GB"/>
        </w:rPr>
        <w:t>ORCID: 0000-0002-7230-8480</w:t>
      </w:r>
    </w:p>
    <w:p w14:paraId="7F918755" w14:textId="1CB24B73" w:rsidR="0035132F" w:rsidRPr="0035132F" w:rsidRDefault="0035132F" w:rsidP="0035132F">
      <w:pPr>
        <w:jc w:val="center"/>
        <w:rPr>
          <w:lang w:val="en-GB"/>
        </w:rPr>
      </w:pPr>
      <w:r w:rsidRPr="0035132F">
        <w:rPr>
          <w:lang w:val="en-GB"/>
        </w:rPr>
        <w:t>https://scholar.google.com/citations?user=VGU3NRUAAAAJ&amp;hl=pl</w:t>
      </w:r>
    </w:p>
    <w:p w14:paraId="0D01C816" w14:textId="7F053E22" w:rsidR="0035132F" w:rsidRPr="0035132F" w:rsidRDefault="0035132F" w:rsidP="0035132F">
      <w:pPr>
        <w:jc w:val="center"/>
        <w:rPr>
          <w:lang w:val="en-GB"/>
        </w:rPr>
      </w:pPr>
      <w:r w:rsidRPr="0035132F">
        <w:rPr>
          <w:lang w:val="en-GB"/>
        </w:rPr>
        <w:t xml:space="preserve">Anna </w:t>
      </w:r>
      <w:proofErr w:type="spellStart"/>
      <w:r w:rsidRPr="0035132F">
        <w:rPr>
          <w:lang w:val="en-GB"/>
        </w:rPr>
        <w:t>Zamojska</w:t>
      </w:r>
      <w:proofErr w:type="spellEnd"/>
    </w:p>
    <w:p w14:paraId="18659F61" w14:textId="072DA9DF" w:rsidR="0035132F" w:rsidRPr="0035132F" w:rsidRDefault="0035132F" w:rsidP="0035132F">
      <w:pPr>
        <w:jc w:val="center"/>
        <w:rPr>
          <w:lang w:val="en-GB"/>
        </w:rPr>
      </w:pPr>
      <w:r w:rsidRPr="0035132F">
        <w:rPr>
          <w:lang w:val="en-GB"/>
        </w:rPr>
        <w:t>Associate Professor</w:t>
      </w:r>
    </w:p>
    <w:p w14:paraId="0DA0063C" w14:textId="7DDA8BE0" w:rsidR="0035132F" w:rsidRPr="0035132F" w:rsidRDefault="0035132F" w:rsidP="0035132F">
      <w:pPr>
        <w:jc w:val="center"/>
        <w:rPr>
          <w:lang w:val="en-GB"/>
        </w:rPr>
      </w:pPr>
      <w:r w:rsidRPr="0035132F">
        <w:rPr>
          <w:lang w:val="en-GB"/>
        </w:rPr>
        <w:t>University of Gdansk</w:t>
      </w:r>
    </w:p>
    <w:p w14:paraId="4F1BF5E6" w14:textId="44351599" w:rsidR="0035132F" w:rsidRPr="0035132F" w:rsidRDefault="0035132F" w:rsidP="0035132F">
      <w:pPr>
        <w:jc w:val="center"/>
        <w:rPr>
          <w:lang w:val="en-GB"/>
        </w:rPr>
      </w:pPr>
      <w:r w:rsidRPr="0035132F">
        <w:rPr>
          <w:lang w:val="en-GB"/>
        </w:rPr>
        <w:t>Poland</w:t>
      </w:r>
    </w:p>
    <w:p w14:paraId="7EB56B0B" w14:textId="438A66EC" w:rsidR="0035132F" w:rsidRPr="0035132F" w:rsidRDefault="0035132F" w:rsidP="0035132F">
      <w:pPr>
        <w:jc w:val="center"/>
        <w:rPr>
          <w:lang w:val="en-GB"/>
        </w:rPr>
      </w:pPr>
      <w:r w:rsidRPr="0035132F">
        <w:rPr>
          <w:lang w:val="en-GB"/>
        </w:rPr>
        <w:t>e-mail: anna.zamojska@ug.edu.pl</w:t>
      </w:r>
    </w:p>
    <w:p w14:paraId="10D873D1" w14:textId="2F9B4B7E" w:rsidR="0035132F" w:rsidRPr="0035132F" w:rsidRDefault="0035132F" w:rsidP="0035132F">
      <w:pPr>
        <w:jc w:val="center"/>
        <w:rPr>
          <w:lang w:val="en-GB"/>
        </w:rPr>
      </w:pPr>
      <w:r w:rsidRPr="0035132F">
        <w:rPr>
          <w:lang w:val="en-GB"/>
        </w:rPr>
        <w:t>ORCID: 0000-0002-3248-1596</w:t>
      </w:r>
    </w:p>
    <w:p w14:paraId="5ADFE547" w14:textId="73ABFFDB" w:rsidR="0035132F" w:rsidRPr="0035132F" w:rsidRDefault="0035132F" w:rsidP="0035132F">
      <w:pPr>
        <w:jc w:val="center"/>
        <w:rPr>
          <w:lang w:val="en-GB"/>
        </w:rPr>
      </w:pPr>
      <w:r w:rsidRPr="0035132F">
        <w:rPr>
          <w:lang w:val="en-GB"/>
        </w:rPr>
        <w:t>https://scholar.google.com/citations?user=TiR4cEUAAAAJ&amp;hl=pl&amp;oi=ao</w:t>
      </w:r>
    </w:p>
    <w:p w14:paraId="4698B6DC" w14:textId="77777777" w:rsidR="0035132F" w:rsidRDefault="0035132F" w:rsidP="0035132F">
      <w:pPr>
        <w:jc w:val="center"/>
        <w:rPr>
          <w:b/>
          <w:bCs/>
          <w:lang w:val="en-GB"/>
        </w:rPr>
      </w:pPr>
    </w:p>
    <w:p w14:paraId="5A6BB227" w14:textId="53462F7D" w:rsidR="0035132F" w:rsidRPr="0035132F" w:rsidRDefault="0035132F" w:rsidP="0035132F">
      <w:pPr>
        <w:jc w:val="center"/>
        <w:rPr>
          <w:lang w:val="en-GB"/>
        </w:rPr>
      </w:pPr>
      <w:r w:rsidRPr="0035132F">
        <w:rPr>
          <w:b/>
          <w:bCs/>
          <w:lang w:val="en-GB"/>
        </w:rPr>
        <w:t>Abstract</w:t>
      </w:r>
    </w:p>
    <w:p w14:paraId="709E6871" w14:textId="77777777" w:rsidR="0035132F" w:rsidRPr="0035132F" w:rsidRDefault="0035132F" w:rsidP="0035132F">
      <w:pPr>
        <w:jc w:val="both"/>
        <w:rPr>
          <w:lang w:val="en-GB"/>
        </w:rPr>
      </w:pPr>
      <w:r w:rsidRPr="0035132F">
        <w:rPr>
          <w:lang w:val="en-GB"/>
        </w:rPr>
        <w:t xml:space="preserve">This paper investigates whether, and through which channels, uncertainty shocks reduce technology-trade performance across technology categories and whether these effects differ by economy and time horizon. Focusing on the US, China, and the EU over 1998–2024, we estimate an annual panel VAR with exogenous shocks for eight technology sectors, using two complementary trade outcomes: the export-to-import ratio (EI) and revealed comparative advantage (RCA). Uncertainty is proxied by global supply-chain pressure, trade policy uncertainty, and US-China geopolitical tensions. Results indicate dominant persistence and mean reversion in EI and RCA, with generally weak EI–RCA cross-transmission. Uncertainty effects are heterogeneous: operational shocks most consistently weaken trade performance in strategic-GVC sectors, whereas trade policy and geopolitical uncertainties primarily shift relative specialization rather than uniformly compressing trade. Cross-economy patterns identify China as an exporter outlier and semiconductors as Europe’s key bottleneck, implying that resilience policies should be targeted by technology type and uncertainty dimension. </w:t>
      </w:r>
    </w:p>
    <w:p w14:paraId="0819B4EF" w14:textId="77777777" w:rsidR="0035132F" w:rsidRPr="0035132F" w:rsidRDefault="0035132F" w:rsidP="0035132F">
      <w:pPr>
        <w:rPr>
          <w:lang w:val="en-GB"/>
        </w:rPr>
      </w:pPr>
      <w:r w:rsidRPr="0035132F">
        <w:rPr>
          <w:b/>
          <w:bCs/>
          <w:lang w:val="en-GB"/>
        </w:rPr>
        <w:t xml:space="preserve">Keywords: </w:t>
      </w:r>
      <w:r w:rsidRPr="0035132F">
        <w:rPr>
          <w:lang w:val="en-GB"/>
        </w:rPr>
        <w:t>uncertainty; technology trade; uncertainty shocks; panel VAR (PVARX)</w:t>
      </w:r>
      <w:r w:rsidRPr="0035132F">
        <w:rPr>
          <w:b/>
          <w:bCs/>
          <w:lang w:val="en-GB"/>
        </w:rPr>
        <w:t xml:space="preserve"> </w:t>
      </w:r>
    </w:p>
    <w:p w14:paraId="5D3EEE4B" w14:textId="77777777" w:rsidR="0035132F" w:rsidRPr="0035132F" w:rsidRDefault="0035132F" w:rsidP="0035132F">
      <w:pPr>
        <w:rPr>
          <w:lang w:val="en-GB"/>
        </w:rPr>
      </w:pPr>
      <w:r w:rsidRPr="0035132F">
        <w:rPr>
          <w:b/>
          <w:bCs/>
          <w:lang w:val="en-GB"/>
        </w:rPr>
        <w:lastRenderedPageBreak/>
        <w:t xml:space="preserve">JEL codes: </w:t>
      </w:r>
      <w:r w:rsidRPr="0035132F">
        <w:rPr>
          <w:lang w:val="en-GB"/>
        </w:rPr>
        <w:t xml:space="preserve">C32; F13; F14; O33 </w:t>
      </w:r>
    </w:p>
    <w:p w14:paraId="5248994C" w14:textId="77777777" w:rsidR="0035132F" w:rsidRPr="0035132F" w:rsidRDefault="0035132F" w:rsidP="0035132F">
      <w:pPr>
        <w:rPr>
          <w:lang w:val="en-GB"/>
        </w:rPr>
      </w:pPr>
      <w:r w:rsidRPr="0035132F">
        <w:rPr>
          <w:b/>
          <w:bCs/>
          <w:lang w:val="en-GB"/>
        </w:rPr>
        <w:t xml:space="preserve">Funding </w:t>
      </w:r>
    </w:p>
    <w:p w14:paraId="6933FD53" w14:textId="6BABF7B3" w:rsidR="0035132F" w:rsidRPr="0035132F" w:rsidRDefault="0035132F" w:rsidP="0035132F">
      <w:pPr>
        <w:jc w:val="both"/>
        <w:rPr>
          <w:lang w:val="en-GB"/>
        </w:rPr>
      </w:pPr>
      <w:r w:rsidRPr="0035132F">
        <w:rPr>
          <w:lang w:val="en-GB"/>
        </w:rPr>
        <w:t xml:space="preserve">The article is the result of the research project ‘Digital Silk Road as a network of technological connections between China and Europe within value chains: towards win-win or decoupling?’ financed by the National Science Centre, Poland (UMO-2021/43/B/HS4/01079). </w:t>
      </w:r>
    </w:p>
    <w:p w14:paraId="0A8A3E16" w14:textId="77777777" w:rsidR="0035132F" w:rsidRPr="0035132F" w:rsidRDefault="0035132F" w:rsidP="0035132F">
      <w:pPr>
        <w:rPr>
          <w:lang w:val="en-GB"/>
        </w:rPr>
      </w:pPr>
      <w:r w:rsidRPr="0035132F">
        <w:rPr>
          <w:b/>
          <w:bCs/>
          <w:lang w:val="en-GB"/>
        </w:rPr>
        <w:t xml:space="preserve">Declarations </w:t>
      </w:r>
    </w:p>
    <w:p w14:paraId="747C78CD" w14:textId="77777777" w:rsidR="0035132F" w:rsidRPr="0035132F" w:rsidRDefault="0035132F" w:rsidP="0035132F">
      <w:pPr>
        <w:rPr>
          <w:lang w:val="en-GB"/>
        </w:rPr>
      </w:pPr>
      <w:r w:rsidRPr="0035132F">
        <w:rPr>
          <w:lang w:val="en-GB"/>
        </w:rPr>
        <w:t xml:space="preserve">The authors declare no conflict of interests. </w:t>
      </w:r>
    </w:p>
    <w:p w14:paraId="6633541F" w14:textId="77777777" w:rsidR="0035132F" w:rsidRPr="0035132F" w:rsidRDefault="0035132F" w:rsidP="0035132F">
      <w:pPr>
        <w:rPr>
          <w:lang w:val="en-GB"/>
        </w:rPr>
      </w:pPr>
      <w:r w:rsidRPr="0035132F">
        <w:rPr>
          <w:b/>
          <w:bCs/>
          <w:lang w:val="en-GB"/>
        </w:rPr>
        <w:t xml:space="preserve">Data statement </w:t>
      </w:r>
    </w:p>
    <w:p w14:paraId="2B733D3C" w14:textId="5A2F08A5" w:rsidR="0035132F" w:rsidRPr="0035132F" w:rsidRDefault="0035132F" w:rsidP="0035132F">
      <w:pPr>
        <w:rPr>
          <w:lang w:val="en-GB"/>
        </w:rPr>
      </w:pPr>
      <w:r w:rsidRPr="0035132F">
        <w:rPr>
          <w:lang w:val="en-GB"/>
        </w:rPr>
        <w:t>The data will be available in the public repository with the DOI number.</w:t>
      </w:r>
    </w:p>
    <w:sectPr w:rsidR="0035132F" w:rsidRPr="003513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2F"/>
    <w:rsid w:val="0035132F"/>
    <w:rsid w:val="00EE3C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0009"/>
  <w15:chartTrackingRefBased/>
  <w15:docId w15:val="{E8BCB7CB-23CC-405E-810B-4D2880C5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51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51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5132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5132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5132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5132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5132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5132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5132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132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5132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5132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5132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5132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5132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5132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5132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5132F"/>
    <w:rPr>
      <w:rFonts w:eastAsiaTheme="majorEastAsia" w:cstheme="majorBidi"/>
      <w:color w:val="272727" w:themeColor="text1" w:themeTint="D8"/>
    </w:rPr>
  </w:style>
  <w:style w:type="paragraph" w:styleId="Tytu">
    <w:name w:val="Title"/>
    <w:basedOn w:val="Normalny"/>
    <w:next w:val="Normalny"/>
    <w:link w:val="TytuZnak"/>
    <w:uiPriority w:val="10"/>
    <w:qFormat/>
    <w:rsid w:val="00351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5132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5132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5132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132F"/>
    <w:pPr>
      <w:spacing w:before="160"/>
      <w:jc w:val="center"/>
    </w:pPr>
    <w:rPr>
      <w:i/>
      <w:iCs/>
      <w:color w:val="404040" w:themeColor="text1" w:themeTint="BF"/>
    </w:rPr>
  </w:style>
  <w:style w:type="character" w:customStyle="1" w:styleId="CytatZnak">
    <w:name w:val="Cytat Znak"/>
    <w:basedOn w:val="Domylnaczcionkaakapitu"/>
    <w:link w:val="Cytat"/>
    <w:uiPriority w:val="29"/>
    <w:rsid w:val="0035132F"/>
    <w:rPr>
      <w:i/>
      <w:iCs/>
      <w:color w:val="404040" w:themeColor="text1" w:themeTint="BF"/>
    </w:rPr>
  </w:style>
  <w:style w:type="paragraph" w:styleId="Akapitzlist">
    <w:name w:val="List Paragraph"/>
    <w:basedOn w:val="Normalny"/>
    <w:uiPriority w:val="34"/>
    <w:qFormat/>
    <w:rsid w:val="0035132F"/>
    <w:pPr>
      <w:ind w:left="720"/>
      <w:contextualSpacing/>
    </w:pPr>
  </w:style>
  <w:style w:type="character" w:styleId="Wyrnienieintensywne">
    <w:name w:val="Intense Emphasis"/>
    <w:basedOn w:val="Domylnaczcionkaakapitu"/>
    <w:uiPriority w:val="21"/>
    <w:qFormat/>
    <w:rsid w:val="0035132F"/>
    <w:rPr>
      <w:i/>
      <w:iCs/>
      <w:color w:val="0F4761" w:themeColor="accent1" w:themeShade="BF"/>
    </w:rPr>
  </w:style>
  <w:style w:type="paragraph" w:styleId="Cytatintensywny">
    <w:name w:val="Intense Quote"/>
    <w:basedOn w:val="Normalny"/>
    <w:next w:val="Normalny"/>
    <w:link w:val="CytatintensywnyZnak"/>
    <w:uiPriority w:val="30"/>
    <w:qFormat/>
    <w:rsid w:val="00351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5132F"/>
    <w:rPr>
      <w:i/>
      <w:iCs/>
      <w:color w:val="0F4761" w:themeColor="accent1" w:themeShade="BF"/>
    </w:rPr>
  </w:style>
  <w:style w:type="character" w:styleId="Odwoanieintensywne">
    <w:name w:val="Intense Reference"/>
    <w:basedOn w:val="Domylnaczcionkaakapitu"/>
    <w:uiPriority w:val="32"/>
    <w:qFormat/>
    <w:rsid w:val="003513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309</Words>
  <Characters>1855</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Cieślik</dc:creator>
  <cp:keywords/>
  <dc:description/>
  <cp:lastModifiedBy>Ewa Cieślik</cp:lastModifiedBy>
  <cp:revision>1</cp:revision>
  <dcterms:created xsi:type="dcterms:W3CDTF">2026-02-17T20:48:00Z</dcterms:created>
  <dcterms:modified xsi:type="dcterms:W3CDTF">2026-02-17T20:51:00Z</dcterms:modified>
</cp:coreProperties>
</file>