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240" w:before="0" w:after="140"/>
        <w:jc w:val="center"/>
      </w:pPr>
      <w:r>
        <w:rPr>
          <w:rFonts w:ascii="Times New Roman" w:cs="Times New Roman" w:eastAsia="Times New Roman" w:hAnsi="Times New Roman"/>
          <w:b/>
          <w:bCs/>
          <w:sz w:val="40"/>
          <w:szCs w:val="40"/>
        </w:rPr>
        <w:t xml:space="preserve">Reconstructing Curriculum Coherence in Performance-Based Traditions: A Framework Integrating Experiential Learning and Relational Constructive Alignment</w:t>
      </w:r>
    </w:p>
    <w:p>
      <w:pPr>
        <w:spacing w:line="240" w:before="0" w:after="60"/>
        <w:jc w:val="center"/>
      </w:pPr>
      <w:r>
        <w:rPr>
          <w:rFonts w:ascii="Times New Roman" w:cs="Times New Roman" w:eastAsia="Times New Roman" w:hAnsi="Times New Roman"/>
          <w:b w:val="false"/>
          <w:bCs w:val="false"/>
          <w:i w:val="false"/>
          <w:iCs w:val="false"/>
          <w:sz w:val="24"/>
          <w:szCs w:val="24"/>
        </w:rPr>
        <w:t xml:space="preserve">Xu Shen</w:t>
      </w:r>
    </w:p>
    <w:p>
      <w:pPr>
        <w:spacing w:line="240" w:before="0" w:after="60"/>
        <w:jc w:val="center"/>
      </w:pPr>
      <w:r>
        <w:rPr>
          <w:rFonts w:ascii="Times New Roman" w:cs="Times New Roman" w:eastAsia="Times New Roman" w:hAnsi="Times New Roman"/>
          <w:b w:val="false"/>
          <w:bCs w:val="false"/>
          <w:i w:val="false"/>
          <w:iCs w:val="false"/>
          <w:sz w:val="20"/>
          <w:szCs w:val="20"/>
        </w:rPr>
        <w:t xml:space="preserve">Faculty of Music, Hanshan Normal University, Chaoshan, Guangdong, China</w:t>
      </w:r>
    </w:p>
    <w:p>
      <w:pPr>
        <w:spacing w:line="240" w:before="0" w:after="60"/>
        <w:jc w:val="center"/>
      </w:pPr>
      <w:r>
        <w:rPr>
          <w:rFonts w:ascii="Times New Roman" w:cs="Times New Roman" w:eastAsia="Times New Roman" w:hAnsi="Times New Roman"/>
          <w:b w:val="false"/>
          <w:bCs w:val="false"/>
          <w:i w:val="false"/>
          <w:iCs w:val="false"/>
          <w:sz w:val="24"/>
          <w:szCs w:val="24"/>
        </w:rPr>
        <w:t xml:space="preserve">Mohd Hassan Bin Abdullah*</w:t>
      </w:r>
    </w:p>
    <w:p>
      <w:pPr>
        <w:spacing w:line="240" w:before="0" w:after="60"/>
        <w:jc w:val="center"/>
      </w:pPr>
      <w:r>
        <w:rPr>
          <w:rFonts w:ascii="Times New Roman" w:cs="Times New Roman" w:eastAsia="Times New Roman" w:hAnsi="Times New Roman"/>
          <w:b w:val="false"/>
          <w:bCs w:val="false"/>
          <w:i w:val="false"/>
          <w:iCs w:val="false"/>
          <w:sz w:val="20"/>
          <w:szCs w:val="20"/>
        </w:rPr>
        <w:t xml:space="preserve">Faculty of Music and Performing Arts, Universiti Pendidikan Sultan Idris, Malaysia</w:t>
      </w:r>
    </w:p>
    <w:p>
      <w:pPr>
        <w:spacing w:line="240" w:before="0" w:after="180"/>
        <w:jc w:val="center"/>
      </w:pPr>
      <w:r>
        <w:rPr>
          <w:rFonts w:ascii="Times New Roman" w:cs="Times New Roman" w:eastAsia="Times New Roman" w:hAnsi="Times New Roman"/>
          <w:b w:val="false"/>
          <w:bCs w:val="false"/>
          <w:i w:val="false"/>
          <w:iCs w:val="false"/>
          <w:sz w:val="20"/>
          <w:szCs w:val="20"/>
        </w:rPr>
        <w:t xml:space="preserve">*Corresponding author: mohd@fmsp.upsi.edu.my</w:t>
      </w:r>
    </w:p>
    <w:p>
      <w:pPr>
        <w:spacing w:line="240" w:before="0" w:after="100"/>
        <w:jc w:val="both"/>
      </w:pPr>
      <w:r>
        <w:rPr>
          <w:rFonts w:ascii="Times New Roman" w:cs="Times New Roman" w:eastAsia="Times New Roman" w:hAnsi="Times New Roman"/>
          <w:b/>
          <w:bCs/>
          <w:i w:val="false"/>
          <w:iCs w:val="false"/>
          <w:sz w:val="24"/>
          <w:szCs w:val="24"/>
        </w:rPr>
        <w:t xml:space="preserve">Abstract. </w:t>
      </w:r>
      <w:r>
        <w:rPr>
          <w:rFonts w:ascii="Times New Roman" w:cs="Times New Roman" w:eastAsia="Times New Roman" w:hAnsi="Times New Roman"/>
          <w:b w:val="false"/>
          <w:bCs w:val="false"/>
          <w:i w:val="false"/>
          <w:iCs w:val="false"/>
          <w:sz w:val="24"/>
          <w:szCs w:val="24"/>
        </w:rPr>
        <w:t xml:space="preserve">Constructive alignment (CA) is widely used to organise curriculum coherence in higher education; however, its operationalisation within outcome-based quality assurance systems creates structural difficulties when applied to ensemble-based oral music traditions, where knowledge is embodied, relationally transmitted, and acquired through somatic imitation and co-performance. This study pursued three objectives: (1) to diagnose curriculum gaps in Chaozhou music higher education through systematic needs analysis; (2) to construct a theoretically grounded framework, the Chaozhou Music Curriculum Framework (CMCF), operationalising Relational Constructive Alignment (RCA); and (3) to evaluate the CMCF for content validity and stakeholder feasibility. A mixed-methods sequential exploratory design embedded within a design-based research orientation was adopted across three phases. Phase 1 comprised needs analysis through document analysis of twelve syllabi, six semi-structured expert interviews, five teacher focus group discussions, and a student survey (n = 300). Phase 2 involved framework construction through conceptual synthesis and iterative expert consultation. Phase 3 combined expert Content Validity Index (CVI) validation (n = 5 panel; S-CVI/Ave = 0.94) with stakeholder feasibility assessment (n = 100 students; Cronbach's alpha = 0.89). The CMCF operationalises RCA, extending the conventional ILO-TLA-AT triangle by incorporating ensemble relationality as a fourth structural axis within a tetrahedral model. Student feasibility means ranged from 3.38 to 3.71 on a five-point scale, indicating moderate rather than strong endorsement, with notable heterogeneity across student subgroups. The study indicates that CA may function more coherently in ensemble-based oral traditions when its structural architecture is adapted to incorporate relational epistemology, offering a potentially adaptable framework for disciplines in which tacit, embodied, or relational knowledge is constitutive of learning.</w:t>
      </w:r>
    </w:p>
    <w:p>
      <w:pPr>
        <w:spacing w:line="240" w:before="0" w:after="180"/>
        <w:jc w:val="left"/>
      </w:pPr>
      <w:r>
        <w:rPr>
          <w:rFonts w:ascii="Times New Roman" w:cs="Times New Roman" w:eastAsia="Times New Roman" w:hAnsi="Times New Roman"/>
          <w:b/>
          <w:bCs/>
          <w:i w:val="false"/>
          <w:iCs w:val="false"/>
          <w:sz w:val="24"/>
          <w:szCs w:val="24"/>
        </w:rPr>
        <w:t xml:space="preserve">Keywords: </w:t>
      </w:r>
      <w:r>
        <w:rPr>
          <w:rFonts w:ascii="Times New Roman" w:cs="Times New Roman" w:eastAsia="Times New Roman" w:hAnsi="Times New Roman"/>
          <w:b w:val="false"/>
          <w:bCs w:val="false"/>
          <w:i w:val="false"/>
          <w:iCs w:val="false"/>
          <w:sz w:val="24"/>
          <w:szCs w:val="24"/>
        </w:rPr>
        <w:t xml:space="preserve">Chaozhou music; Chinese music education; constructive alignment; curriculum architecture; oral tradition</w:t>
      </w:r>
    </w:p>
    <w:p>
      <w:pPr>
        <w:spacing w:line="240" w:before="240" w:after="120"/>
        <w:jc w:val="left"/>
      </w:pPr>
      <w:r>
        <w:rPr>
          <w:rFonts w:ascii="Times New Roman" w:cs="Times New Roman" w:eastAsia="Times New Roman" w:hAnsi="Times New Roman"/>
          <w:b/>
          <w:bCs/>
          <w:sz w:val="28"/>
          <w:szCs w:val="28"/>
        </w:rPr>
        <w:t xml:space="preserve">1. INTRODUCTION</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Constructive alignment (CA) has achieved wide acceptance as a framework for curriculum coherence in higher education. As articulated by Biggs and Tang (2011), CA proposes that educational quality depends on the deliberate alignment of three curriculum components: intended learning outcomes (ILOs), teaching and learning activities (TLAs), and assessment tasks (ATs). Within cognitively oriented disciplines, CA has demonstrated considerable utility in clarifying educational purpose, guiding instructional design, and supporting defensible assessment practice (Yang, 2022; Biggs, 1996). It is important to note at the outset that CA as a theoretical framework does not itself claim that all knowledge must be propositional or individually assessable. The epistemological tension addressed in this paper arises specifically from how CA is </w:t>
      </w:r>
      <w:r>
        <w:rPr>
          <w:rFonts w:ascii="Times New Roman" w:cs="Times New Roman" w:eastAsia="Times New Roman" w:hAnsi="Times New Roman"/>
          <w:b w:val="false"/>
          <w:bCs w:val="false"/>
          <w:i/>
          <w:iCs/>
          <w:sz w:val="24"/>
          <w:szCs w:val="24"/>
        </w:rPr>
        <w:t xml:space="preserve">operationalised</w:t>
      </w:r>
      <w:r>
        <w:rPr>
          <w:rFonts w:ascii="Times New Roman" w:cs="Times New Roman" w:eastAsia="Times New Roman" w:hAnsi="Times New Roman"/>
          <w:b w:val="false"/>
          <w:bCs w:val="false"/>
          <w:i w:val="false"/>
          <w:iCs w:val="false"/>
          <w:sz w:val="24"/>
          <w:szCs w:val="24"/>
        </w:rPr>
        <w:t xml:space="preserve"> within institutional quality assurance contexts, not from its original theoretical intentions (Biggs and Tang, 2011).</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Performance-based disciplines reveal structural tensions when CA is operationalised in outcome-based accreditation systems. The requirement that ILOs be formulated through active verbs designating observable cognitive operations structurally privileges the explicit over the tacit, the individually assessable over the relational, and the measurable over the performative (Bernstein, 2000). Prior adaptations of CA in the arts have made valuable contributions: Thorsteinsson (2013) extended CA to technology and design education with process-oriented assessment; Lebler (2007) adapted it within conservatoire settings using peer-assessment flexibility. Both contributions modify how individual competencies are assessed within CA's triangular structure. Neither, however, addresses ensemble relationality as a structural alignment axis. The present paper builds directly on these prior contributions by proposing a fourth structural dimension.</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Traditional Chinese music, and specifically the Chaozhou (Teochew) musical tradition originating in the Chaoshan region of Guangdong Province, exemplifies this challenge with particular acuity. Chaozhou music was designated a national-level Intangible Cultural Heritage item by China's Ministry of Culture in 2006. Its transmission has historically relied on oral apprenticeship and master-student relationships, which maintain stylistic authenticity but create difficulties for uniform assessment within university settings (Lim and Zhang, 2023; Ho, 2011). The tradition is characterised by the </w:t>
      </w:r>
      <w:r>
        <w:rPr>
          <w:rFonts w:ascii="Times New Roman" w:cs="Times New Roman" w:eastAsia="Times New Roman" w:hAnsi="Times New Roman"/>
          <w:b w:val="false"/>
          <w:bCs w:val="false"/>
          <w:i/>
          <w:iCs/>
          <w:sz w:val="24"/>
          <w:szCs w:val="24"/>
        </w:rPr>
        <w:t xml:space="preserve">Er Si Pu</w:t>
      </w:r>
      <w:r>
        <w:rPr>
          <w:rFonts w:ascii="Times New Roman" w:cs="Times New Roman" w:eastAsia="Times New Roman" w:hAnsi="Times New Roman"/>
          <w:b w:val="false"/>
          <w:bCs w:val="false"/>
          <w:i w:val="false"/>
          <w:iCs w:val="false"/>
          <w:sz w:val="24"/>
          <w:szCs w:val="24"/>
        </w:rPr>
        <w:t xml:space="preserve"> (二四谱) modal system; </w:t>
      </w:r>
      <w:r>
        <w:rPr>
          <w:rFonts w:ascii="Times New Roman" w:cs="Times New Roman" w:eastAsia="Times New Roman" w:hAnsi="Times New Roman"/>
          <w:b w:val="false"/>
          <w:bCs w:val="false"/>
          <w:i/>
          <w:iCs/>
          <w:sz w:val="24"/>
          <w:szCs w:val="24"/>
        </w:rPr>
        <w:t xml:space="preserve">jiahua</w:t>
      </w:r>
      <w:r>
        <w:rPr>
          <w:rFonts w:ascii="Times New Roman" w:cs="Times New Roman" w:eastAsia="Times New Roman" w:hAnsi="Times New Roman"/>
          <w:b w:val="false"/>
          <w:bCs w:val="false"/>
          <w:i w:val="false"/>
          <w:iCs w:val="false"/>
          <w:sz w:val="24"/>
          <w:szCs w:val="24"/>
        </w:rPr>
        <w:t xml:space="preserve"> (加花) ornamentation practices; and ensemble-based performance logic in which collective sonic negotiation is central to musical meaning (Mok, 2013; Zhang and Cross, 2021).</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Three structural gaps motivate this study. The theoretical gap is the absence of a structural alignment mechanism capable of representing ensemble relational competence within curriculum design; conventional CA's triangular architecture renders inter-subjective musical knowledge invisible. The empirical gap is the absence of validated curriculum frameworks for Chaozhou music at undergraduate level. The practical gap is the resulting institutional misalignment between stated learning objectives, teaching activities, and assessment practices in existing programmes. Evidence of this practical gap is drawn from the Phase 1 needs analysis conducted for this study: document analysis of twelve undergraduate syllabi from six universities in Guangdong Province that offer Chaozhou music provision revealed that none included ensemble coordination as a formally assessed learning outcome, and nine of twelve contained no ILOs referencing ensemble performance at all. The six universities were selected on the basis of geographic and institutional representativeness of Chaozhou music provision in the province, and constitute the accessible population of such programmes rather than a representative sample of the provincial university sector as a whole. Learning objectives were routinely framed in appreciation terms such as "to understand" or "to appreciate", without specifiable performance benchmarks. Document analysis recorded a dimension average score of 1.8 out of 3 for objective clarity and specificity, and 1.2 out of 3 for experiential learning design.</w:t>
      </w:r>
    </w:p>
    <w:p>
      <w:pPr>
        <w:spacing w:line="240" w:before="0" w:after="40"/>
        <w:jc w:val="both"/>
      </w:pPr>
      <w:r>
        <w:rPr>
          <w:rFonts w:ascii="Times New Roman" w:cs="Times New Roman" w:eastAsia="Times New Roman" w:hAnsi="Times New Roman"/>
          <w:b w:val="false"/>
          <w:bCs w:val="false"/>
          <w:i w:val="false"/>
          <w:iCs w:val="false"/>
          <w:sz w:val="24"/>
          <w:szCs w:val="24"/>
        </w:rPr>
        <w:t xml:space="preserve">This paper pursues three research objectives:</w:t>
      </w:r>
    </w:p>
    <w:p>
      <w:pPr>
        <w:spacing w:line="240" w:before="0" w:after="40"/>
        <w:jc w:val="both"/>
      </w:pPr>
      <w:r>
        <w:rPr>
          <w:rFonts w:ascii="Times New Roman" w:cs="Times New Roman" w:eastAsia="Times New Roman" w:hAnsi="Times New Roman"/>
          <w:b/>
          <w:bCs/>
          <w:i w:val="false"/>
          <w:iCs w:val="false"/>
          <w:sz w:val="24"/>
          <w:szCs w:val="24"/>
        </w:rPr>
        <w:t xml:space="preserve">RO1: </w:t>
      </w:r>
      <w:r>
        <w:rPr>
          <w:rFonts w:ascii="Times New Roman" w:cs="Times New Roman" w:eastAsia="Times New Roman" w:hAnsi="Times New Roman"/>
          <w:b w:val="false"/>
          <w:bCs w:val="false"/>
          <w:i w:val="false"/>
          <w:iCs w:val="false"/>
          <w:sz w:val="24"/>
          <w:szCs w:val="24"/>
        </w:rPr>
        <w:t xml:space="preserve">To diagnose specific curriculum gaps and learner needs in Chaozhou music higher education through systematic needs analysis.</w:t>
      </w:r>
    </w:p>
    <w:p>
      <w:pPr>
        <w:spacing w:line="240" w:before="0" w:after="40"/>
        <w:jc w:val="both"/>
      </w:pPr>
      <w:r>
        <w:rPr>
          <w:rFonts w:ascii="Times New Roman" w:cs="Times New Roman" w:eastAsia="Times New Roman" w:hAnsi="Times New Roman"/>
          <w:b/>
          <w:bCs/>
          <w:i w:val="false"/>
          <w:iCs w:val="false"/>
          <w:sz w:val="24"/>
          <w:szCs w:val="24"/>
        </w:rPr>
        <w:t xml:space="preserve">RO2: </w:t>
      </w:r>
      <w:r>
        <w:rPr>
          <w:rFonts w:ascii="Times New Roman" w:cs="Times New Roman" w:eastAsia="Times New Roman" w:hAnsi="Times New Roman"/>
          <w:b w:val="false"/>
          <w:bCs w:val="false"/>
          <w:i w:val="false"/>
          <w:iCs w:val="false"/>
          <w:sz w:val="24"/>
          <w:szCs w:val="24"/>
        </w:rPr>
        <w:t xml:space="preserve">To construct the CMCF, operationalising Relational Constructive Alignment (RCA) as an extension of the conventional ILO-TLA-AT structure.</w:t>
      </w:r>
    </w:p>
    <w:p>
      <w:pPr>
        <w:spacing w:line="240" w:before="0" w:after="80"/>
        <w:jc w:val="both"/>
      </w:pPr>
      <w:r>
        <w:rPr>
          <w:rFonts w:ascii="Times New Roman" w:cs="Times New Roman" w:eastAsia="Times New Roman" w:hAnsi="Times New Roman"/>
          <w:b/>
          <w:bCs/>
          <w:i w:val="false"/>
          <w:iCs w:val="false"/>
          <w:sz w:val="24"/>
          <w:szCs w:val="24"/>
        </w:rPr>
        <w:t xml:space="preserve">RO3: </w:t>
      </w:r>
      <w:r>
        <w:rPr>
          <w:rFonts w:ascii="Times New Roman" w:cs="Times New Roman" w:eastAsia="Times New Roman" w:hAnsi="Times New Roman"/>
          <w:b w:val="false"/>
          <w:bCs w:val="false"/>
          <w:i w:val="false"/>
          <w:iCs w:val="false"/>
          <w:sz w:val="24"/>
          <w:szCs w:val="24"/>
        </w:rPr>
        <w:t xml:space="preserve">To evaluate the CMCF for content validity and stakeholder feasibility through expert panel evaluation and undergraduate student assessment.</w:t>
      </w:r>
    </w:p>
    <w:p>
      <w:pPr>
        <w:spacing w:line="240" w:before="240" w:after="120"/>
        <w:jc w:val="left"/>
      </w:pPr>
      <w:r>
        <w:rPr>
          <w:rFonts w:ascii="Times New Roman" w:cs="Times New Roman" w:eastAsia="Times New Roman" w:hAnsi="Times New Roman"/>
          <w:b/>
          <w:bCs/>
          <w:sz w:val="28"/>
          <w:szCs w:val="28"/>
        </w:rPr>
        <w:t xml:space="preserve">2. THEORETICAL BACKGROUND</w:t>
      </w:r>
    </w:p>
    <w:p>
      <w:pPr>
        <w:spacing w:line="240" w:before="180" w:after="80"/>
        <w:jc w:val="left"/>
      </w:pPr>
      <w:r>
        <w:rPr>
          <w:rFonts w:ascii="Times New Roman" w:cs="Times New Roman" w:eastAsia="Times New Roman" w:hAnsi="Times New Roman"/>
          <w:b/>
          <w:bCs/>
          <w:sz w:val="24"/>
          <w:szCs w:val="24"/>
        </w:rPr>
        <w:t xml:space="preserve">2.1 Tyler's Objective Model and the Institutional Legitimisation of Oral Traditions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Tyler's (1949) rationale for curriculum design proposes that effective curriculum development begins with the systematic specification of educational purposes, followed by deliberate selection of learning experiences and organisation of content. Within the CMCF, Tyler's Objective Model is retained for a specific and bounded function at the macro-structural level, and for three explicitly justified reasons. First, curricular defensibility within Chinese higher education quality assurance frameworks requires rational articulation of educational purposes. Second, the objective specification function of Tyler's model enables the transformation of implicit cultural knowledge into assessable competency statements, which is a precondition for institutional recognition. Third, accreditation compatibility with the Ministry of Education's (2017) national teaching quality standards requires explicit ILO documentation. Without this institutional scaffolding, even a pedagogically sophisticated framework risks marginalisation of Chaozhou music as cultural enrichment rather than substantive curricular content, a pattern empirically documented in the Phase 1 document analysis.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This instrumentalised use of Tyler carries acknowledged limitations. Behaviourist assumptions embedded in objective models risk fragmenting aesthetic traditions into atomised skills. The present framework addresses this risk by formulating ILOs at the level of integrated stylistic competence rather than isolated technical subskills, ensuring that Tyler's rational sequencing provides structural clarity whilst the content of objectives remains grounded in the relational logic of Chaozhou musical practice.</w:t>
      </w:r>
    </w:p>
    <w:p>
      <w:pPr>
        <w:spacing w:line="240" w:before="180" w:after="80"/>
        <w:jc w:val="left"/>
      </w:pPr>
      <w:r>
        <w:rPr>
          <w:rFonts w:ascii="Times New Roman" w:cs="Times New Roman" w:eastAsia="Times New Roman" w:hAnsi="Times New Roman"/>
          <w:b/>
          <w:bCs/>
          <w:sz w:val="24"/>
          <w:szCs w:val="24"/>
        </w:rPr>
        <w:t xml:space="preserve">2.2 Constructive Alignment and Its Epistemological Assumptions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CA (Biggs and Tang, 2011) builds on constructivist learning theory to propose that students learn most effectively when ILOs, TLAs, and ATs function as an integrated, mutually reinforcing system. Its adoption in higher education quality assurance reflects its capacity to clarify educational purpose and render curriculum design auditable (Yang, 2022). CA as a theoretical model does not preclude tacit or embodied knowledge; Biggs himself acknowledged that performance-based domains require contextual adaptation. The structural difficulty examined in this paper concerns what happens when CA is </w:t>
      </w:r>
      <w:r>
        <w:rPr>
          <w:rFonts w:ascii="Times New Roman" w:cs="Times New Roman" w:eastAsia="Times New Roman" w:hAnsi="Times New Roman"/>
          <w:b w:val="false"/>
          <w:bCs w:val="false"/>
          <w:i/>
          <w:iCs/>
          <w:sz w:val="24"/>
          <w:szCs w:val="24"/>
        </w:rPr>
        <w:t xml:space="preserve">operationalised</w:t>
      </w:r>
      <w:r>
        <w:rPr>
          <w:rFonts w:ascii="Times New Roman" w:cs="Times New Roman" w:eastAsia="Times New Roman" w:hAnsi="Times New Roman"/>
          <w:b w:val="false"/>
          <w:bCs w:val="false"/>
          <w:i w:val="false"/>
          <w:iCs w:val="false"/>
          <w:sz w:val="24"/>
          <w:szCs w:val="24"/>
        </w:rPr>
        <w:t xml:space="preserve"> within institutional accreditation systems that require every ILO to be expressed as an individually observable, measureable behaviour: this is a reductionist implementation of CA, not an inherent property of CA in principle. This distinction matters because it directs attention toward the architectural modification needed, rather than rejecting CA altogether.</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operational constraint is concrete. A typical ILO under conventional CA implementation might read: "Students will demonstrate correct fingering technique across five prescribed scales at MM=80." Such an objective is institutionally legible and individually assessable. It cannot, however, capture the stylistically negotiated, ensemble-responsive musicianship that Chaozhou performance demands, wherein a student's expressive judgements are partly constituted through dynamic positioning within the ensemble context. It is this operational gap within reductionist implementations, not a deficiency in CA's theoretical foundations, that this paper addresses by proposing a structural architectural extension.</w:t>
      </w:r>
    </w:p>
    <w:p>
      <w:pPr>
        <w:spacing w:line="240" w:before="180" w:after="80"/>
        <w:jc w:val="left"/>
      </w:pPr>
      <w:r>
        <w:rPr>
          <w:rFonts w:ascii="Times New Roman" w:cs="Times New Roman" w:eastAsia="Times New Roman" w:hAnsi="Times New Roman"/>
          <w:b/>
          <w:bCs/>
          <w:sz w:val="24"/>
          <w:szCs w:val="24"/>
        </w:rPr>
        <w:t xml:space="preserve">2.3 Tacit Knowledge, Reflection-in-Action, and the Epistemology of Ensemble Practice</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Polanyi's (1966) concept of tacit knowledge denotes forms of knowing embedded in embodied skill, acquired through practice and guided imitation, that resist complete articulation in propositional form. In oral musical traditions, this condition is especially pronounced: stylistic intuition, ensemble sensitivity, and real-time interpretive negotiation cannot be reduced to pre-specified behavioural descriptors without significant epistemic loss (Schippers, 2010; Nettl, 2005).</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A concrete illustration grounds the abstract argument. In Chaozhou ensemble performance, a drummer's capacity to hold the ensemble in temporal coherence through the </w:t>
      </w:r>
      <w:r>
        <w:rPr>
          <w:rFonts w:ascii="Times New Roman" w:cs="Times New Roman" w:eastAsia="Times New Roman" w:hAnsi="Times New Roman"/>
          <w:b w:val="false"/>
          <w:bCs w:val="false"/>
          <w:i/>
          <w:iCs/>
          <w:sz w:val="24"/>
          <w:szCs w:val="24"/>
        </w:rPr>
        <w:t xml:space="preserve">Ban</w:t>
      </w:r>
      <w:r>
        <w:rPr>
          <w:rFonts w:ascii="Times New Roman" w:cs="Times New Roman" w:eastAsia="Times New Roman" w:hAnsi="Times New Roman"/>
          <w:b w:val="false"/>
          <w:bCs w:val="false"/>
          <w:i w:val="false"/>
          <w:iCs w:val="false"/>
          <w:sz w:val="24"/>
          <w:szCs w:val="24"/>
        </w:rPr>
        <w:t xml:space="preserve"> (板) rhythmic pulse is not an individually specifiable skill that can be practised in isolation. As one teacher focus group participant in this study observed:</w:t>
      </w:r>
    </w:p>
    <w:p>
      <w:pPr>
        <w:spacing w:line="240" w:before="60" w:after="60"/>
        <w:ind w:left="720" w:right="720"/>
        <w:jc w:val="both"/>
      </w:pPr>
      <w:r>
        <w:rPr>
          <w:rFonts w:ascii="Times New Roman" w:cs="Times New Roman" w:eastAsia="Times New Roman" w:hAnsi="Times New Roman"/>
          <w:i/>
          <w:iCs/>
          <w:sz w:val="22"/>
          <w:szCs w:val="22"/>
        </w:rPr>
        <w:t xml:space="preserve">"Weaker students hide behind the loud drums. I cannot hear them individually." (TCH-03)</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Similarly, a player's real-time adjustment of ornamentation in response to the lead instrument's phrasing involves what Schon (1983) terms knowing-in-action: knowledge exercised in performance that is irreducibly inter-subjective and emerges only in the co-performance context. These competencies resist decomposition into checklist rubrics without epistemic distortion.</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Tacit and explicit knowledge are not, however, mutually exclusive. Schon's (1983) reflection-in-action describes an iterative process in which tacit knowledge is partially surfaced through embodied engagement and retrospective reflection rather than prior verbal specification. Wenger's (1998) communities of practice framework describes a continuous dialectic between tacit and explicit knowing, in which newcomers acquire competence through legitimate peripheral participation in shared practice. These perspectives indicate that the curriculum design challenge is to create structural conditions in which partial articulation is appropriately sequenced: following somatic internalisation rather than replacing it.</w:t>
      </w:r>
    </w:p>
    <w:p>
      <w:pPr>
        <w:spacing w:line="240" w:before="180" w:after="80"/>
        <w:jc w:val="left"/>
      </w:pPr>
      <w:r>
        <w:rPr>
          <w:rFonts w:ascii="Times New Roman" w:cs="Times New Roman" w:eastAsia="Times New Roman" w:hAnsi="Times New Roman"/>
          <w:b/>
          <w:bCs/>
          <w:sz w:val="24"/>
          <w:szCs w:val="24"/>
        </w:rPr>
        <w:t xml:space="preserve">2.4 Experiential Learning as a Pedagogical Mediator</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Kolb's (1984) experiential learning theory proposes that learning proceeds through a four-stage cycle of concrete experience, reflective observation, abstract conceptualisation, and active experimentation. The CMCF retains Kolb's model as the meso-level structural spine, for three explicitly stated reasons. First, its sequential architecture maps onto semester-based institutional design and enables explicit articulation of a progression pathway acceptable to quality assurance systems. Second, it bridges embodied experience and formal reflection in a manner that can be documented within institutional curriculum frameworks, unlike less formal models such as apprenticeship or community of practice which lack explicit progression markers. Third, it was empirically supported by Phase 1 student survey findings: concrete experience items recorded the highest mean score of all constructs (M = 4.00, SD = 0.84), and active experimentation items recorded similarly strong endorsement (M = 3.94, SD = 0.79), whilst abstract conceptualisation items recorded comparatively lower scores (M = 3.65, SD = 0.91), consistent with Kolb's theory that conceptual understanding develops after concrete experience.</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Alternative frameworks, including situated learning (Lave and Wenger, 1991), praxial philosophy (Elliott and Silverman, 2015), and apprenticeship models, offer valuable perspectives on embodied musicianship but do not provide the structured institutional scaffolding that higher education quality assurance contexts require. Kolb's explicit sequential architecture is retained precisely because it enables institutional compatibility whilst being recalibrated for embodied primacy.</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Kolb's model requires critical adaptation in this context. It was developed within Western pragmatic epistemology and assumes rational sequential progression culminating in explicit abstraction. In traditional Chaozhou pedagogy, mastery often remains embodied rather than verbally articulated. The CMCF therefore reinterprets rather than transplants Kolb: concrete experience is positioned as the pedagogical entry point; reflective processes are embedded within guided rehearsal dialogue rather than exclusively in written reflection; conceptualisation is anchored in modal analysis only after embodied familiarity has been established; and active experimentation is formalised through structured improvisation within stylistic boundaries. Kolb thus functions as sequencing logic rather than epistemic imposition.</w:t>
      </w:r>
    </w:p>
    <w:p>
      <w:pPr>
        <w:spacing w:line="240" w:before="180" w:after="80"/>
        <w:jc w:val="left"/>
      </w:pPr>
      <w:r>
        <w:rPr>
          <w:rFonts w:ascii="Times New Roman" w:cs="Times New Roman" w:eastAsia="Times New Roman" w:hAnsi="Times New Roman"/>
          <w:b/>
          <w:bCs/>
          <w:sz w:val="24"/>
          <w:szCs w:val="24"/>
        </w:rPr>
        <w:t xml:space="preserve">2.5 The Ensemble Relationality Gap in Existing Alignment Frameworks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A structural limitation of conventional CA, specific to ensemble-based musical traditions, concerns what this paper terms ensemble relationality. In Chaozhou music, ensemble performance is not merely a collective activity but a relational epistemic practice: a student's musical understanding is partly constituted through dynamic positioning within the ensemble. This encompasses responsiveness to the </w:t>
      </w:r>
      <w:r>
        <w:rPr>
          <w:rFonts w:ascii="Times New Roman" w:cs="Times New Roman" w:eastAsia="Times New Roman" w:hAnsi="Times New Roman"/>
          <w:b w:val="false"/>
          <w:bCs w:val="false"/>
          <w:i/>
          <w:iCs/>
          <w:sz w:val="24"/>
          <w:szCs w:val="24"/>
        </w:rPr>
        <w:t xml:space="preserve">Ban</w:t>
      </w:r>
      <w:r>
        <w:rPr>
          <w:rFonts w:ascii="Times New Roman" w:cs="Times New Roman" w:eastAsia="Times New Roman" w:hAnsi="Times New Roman"/>
          <w:b w:val="false"/>
          <w:bCs w:val="false"/>
          <w:i w:val="false"/>
          <w:iCs w:val="false"/>
          <w:sz w:val="24"/>
          <w:szCs w:val="24"/>
        </w:rPr>
        <w:t xml:space="preserve"> rhythmic pulse, timbral balance adjustment to support the lead instrument, and real-time ornamental decisions within shared stylistic constraints (Mok, 2013). These competencies cannot be disaggregated into individual ILOs without epistemic distortion, because they exist as inter-subjective rather than individually specifiable knowledge (Wenger, 1998; Vygotsky, 1978).</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Conventional CA frameworks have no structural mechanism for representing this relational epistemology. The conceptual extension proposed here expands the ILO-TLA-AT triangle into a four-dimensional tetrahedral model in which ensemble relationality functions as a fourth constitutive axis (Fig. 1). In this model, ILOs specify both individual technical competencies and ensemble relational capacities; TLAs provide the ensemble contexts in which relational competence is practised; assessment tasks evaluate both individual and relational performance; and ensemble relationality as a structural axis conditions all three other dimensions simultaneously. This tetrahedral model is proposed as a theoretically grounded structural extension derived from the Phase 1 empirical findings, rather than a fully established curricular ontology; its operability in extended implementation contexts remains to be tested.</w:t>
      </w:r>
    </w:p>
    <w:p>
      <w:pPr>
        <w:spacing w:line="240" w:before="100" w:after="80"/>
        <w:jc w:val="center"/>
      </w:pPr>
      <w:r>
        <w:drawing>
          <wp:inline distT="0" distB="0" distL="0" distR="0">
            <wp:extent cx="4457700" cy="2514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4457700" cy="2514600"/>
                    </a:xfrm>
                    <a:prstGeom prst="rect">
                      <a:avLst/>
                    </a:prstGeom>
                  </pic:spPr>
                </pic:pic>
              </a:graphicData>
            </a:graphic>
          </wp:inline>
        </w:drawing>
      </w:r>
    </w:p>
    <w:p>
      <w:pPr>
        <w:spacing w:line="240" w:before="60" w:after="60"/>
        <w:jc w:val="center"/>
      </w:pPr>
      <w:r>
        <w:rPr>
          <w:rFonts w:ascii="Times New Roman" w:cs="Times New Roman" w:eastAsia="Times New Roman" w:hAnsi="Times New Roman"/>
          <w:i/>
          <w:iCs/>
          <w:sz w:val="20"/>
          <w:szCs w:val="20"/>
        </w:rPr>
        <w:t xml:space="preserve">Fig. 1: Extension from the three-dimensional CA triangle to the four-dimensional RCA tetrahedral model.</w:t>
      </w:r>
    </w:p>
    <w:p>
      <w:pPr>
        <w:spacing w:line="240" w:before="40" w:after="100"/>
        <w:jc w:val="both"/>
      </w:pPr>
      <w:r>
        <w:rPr>
          <w:rFonts w:ascii="Times New Roman" w:cs="Times New Roman" w:eastAsia="Times New Roman" w:hAnsi="Times New Roman"/>
          <w:i/>
          <w:iCs/>
          <w:sz w:val="20"/>
          <w:szCs w:val="20"/>
        </w:rPr>
        <w:t xml:space="preserve">Note: Ensemble Relationality (ER) functions as a fourth structural axis conditioning ILOs, TLAs, and ATs simultaneously. Model is derived from Phase 1 empirical findings and proposed as a theoretically grounded architectural extension.</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Cultural authenticity, a central concern in the institutionalisation of oral traditions, is reconceptualised within RCA as negotiated structural integrity rather than a fixed historical attribute. Rather than preserving historical transmission forms unchanged, which is both practically unsustainable in institutional contexts and theoretically untenable given the dynamic character of living traditions (Schippers and Grant, 2016), RCA frames authenticity as the maintenance of the tradition's internal modal grammar, ensemble relational practices, and stylistic constraints within the curriculum design. This is consistent with UNESCO's (2003) framing of intangible cultural heritage as living, evolving practice. Codification inevitably transforms the tradition it seeks to protect; the curriculum design task is to ensure that transformation preserves internal musical grammar rather than displacing it with externally imposed evaluative frameworks. This reconceptualisation is explored further in Section 5.3.</w:t>
      </w:r>
    </w:p>
    <w:p>
      <w:pPr>
        <w:spacing w:line="240" w:before="240" w:after="120"/>
        <w:jc w:val="left"/>
      </w:pPr>
      <w:r>
        <w:rPr>
          <w:rFonts w:ascii="Times New Roman" w:cs="Times New Roman" w:eastAsia="Times New Roman" w:hAnsi="Times New Roman"/>
          <w:b/>
          <w:bCs/>
          <w:sz w:val="28"/>
          <w:szCs w:val="28"/>
        </w:rPr>
        <w:t xml:space="preserve">3. METHODOLOGY</w:t>
      </w:r>
    </w:p>
    <w:p>
      <w:pPr>
        <w:spacing w:line="240" w:before="180" w:after="80"/>
        <w:jc w:val="left"/>
      </w:pPr>
      <w:r>
        <w:rPr>
          <w:rFonts w:ascii="Times New Roman" w:cs="Times New Roman" w:eastAsia="Times New Roman" w:hAnsi="Times New Roman"/>
          <w:b/>
          <w:bCs/>
          <w:sz w:val="24"/>
          <w:szCs w:val="24"/>
        </w:rPr>
        <w:t xml:space="preserve">3.1 Research Design and Philosophical Stance</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This study adopts a design-based research (DBR) orientation (McKenney and Reeves, 2019), in which iterative cycles of analysis, design, evaluation, and refinement are used to develop theoretically grounded curriculum interventions. The study is positioned as a DBR-oriented framework development and validation study: the framework was not subjected to extended classroom implementation in this phase, which constitutes a significant limitation addressed in Section 6.3. The philosophical stance is pragmatist (Morgan, 2014), prioritising practical utility whilst grounding design decisions in robust theoretical foundations. The DBR orientation is operationalised through a mixed-methods sequential exploratory design (Creswell and Creswell, 2018) comprising three phases, summarised in Tab. 1.</w:t>
      </w:r>
    </w:p>
    <w:p>
      <w:pPr>
        <w:spacing w:line="240" w:before="180" w:after="60"/>
        <w:jc w:val="left"/>
      </w:pPr>
      <w:r>
        <w:rPr>
          <w:rFonts w:ascii="Times New Roman" w:cs="Times New Roman" w:eastAsia="Times New Roman" w:hAnsi="Times New Roman"/>
          <w:b/>
          <w:bCs/>
          <w:i/>
          <w:iCs/>
          <w:sz w:val="20"/>
          <w:szCs w:val="20"/>
        </w:rPr>
        <w:t xml:space="preserve">Tab. 1: Summary of Research Design Phases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100"/>
        <w:gridCol w:w="2100"/>
        <w:gridCol w:w="2580"/>
        <w:gridCol w:w="2580"/>
      </w:tblGrid>
      <w:tr>
        <w:tc>
          <w:tcPr>
            <w:tcW w:type="dxa" w:w="21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Phase</w:t>
            </w:r>
          </w:p>
        </w:tc>
        <w:tc>
          <w:tcPr>
            <w:tcW w:type="dxa" w:w="21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Purpose</w:t>
            </w:r>
          </w:p>
        </w:tc>
        <w:tc>
          <w:tcPr>
            <w:tcW w:type="dxa" w:w="258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Methods</w:t>
            </w:r>
          </w:p>
        </w:tc>
        <w:tc>
          <w:tcPr>
            <w:tcW w:type="dxa" w:w="258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Data Sources</w:t>
            </w:r>
          </w:p>
        </w:tc>
      </w:tr>
      <w:tr>
        <w:tc>
          <w:tcPr>
            <w:tcW w:type="dxa" w:w="21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Phase 1: Needs Analysis</w:t>
            </w:r>
          </w:p>
        </w:tc>
        <w:tc>
          <w:tcPr>
            <w:tcW w:type="dxa" w:w="21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Diagnose curriculum gaps and learner needs</w:t>
            </w:r>
          </w:p>
        </w:tc>
        <w:tc>
          <w:tcPr>
            <w:tcW w:type="dxa" w:w="25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Document analysis; semi-structured expert interviews; teacher FGDs; student survey</w:t>
            </w:r>
          </w:p>
        </w:tc>
        <w:tc>
          <w:tcPr>
            <w:tcW w:type="dxa" w:w="25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12 syllabi from 6 universities; 6 expert interviews; 5 teacher FGD participants; student survey (n=300)</w:t>
            </w:r>
          </w:p>
        </w:tc>
      </w:tr>
      <w:tr>
        <w:tc>
          <w:tcPr>
            <w:tcW w:type="dxa" w:w="21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Phase 2: Framework Construction</w:t>
            </w:r>
          </w:p>
        </w:tc>
        <w:tc>
          <w:tcPr>
            <w:tcW w:type="dxa" w:w="21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Develop theoretically grounded curriculum framework</w:t>
            </w:r>
          </w:p>
        </w:tc>
        <w:tc>
          <w:tcPr>
            <w:tcW w:type="dxa" w:w="25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Conceptual synthesis; two expert consultation rounds</w:t>
            </w:r>
          </w:p>
        </w:tc>
        <w:tc>
          <w:tcPr>
            <w:tcW w:type="dxa" w:w="25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Literature; Phase 1 findings; expert feedback (Rounds 1 and 2)</w:t>
            </w:r>
          </w:p>
        </w:tc>
      </w:tr>
      <w:tr>
        <w:tc>
          <w:tcPr>
            <w:tcW w:type="dxa" w:w="21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Phase 3: Validation</w:t>
            </w:r>
          </w:p>
        </w:tc>
        <w:tc>
          <w:tcPr>
            <w:tcW w:type="dxa" w:w="21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Evaluate content validity and feasibility</w:t>
            </w:r>
          </w:p>
        </w:tc>
        <w:tc>
          <w:tcPr>
            <w:tcW w:type="dxa" w:w="25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CVI protocol; 29-item Likert feasibility survey; post-validation FGD</w:t>
            </w:r>
          </w:p>
        </w:tc>
        <w:tc>
          <w:tcPr>
            <w:tcW w:type="dxa" w:w="25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Expert panel (n=5); student survey (n=100); post-validation FGD (n=5)</w:t>
            </w:r>
          </w:p>
        </w:tc>
      </w:tr>
    </w:tbl>
    <w:p>
      <w:pPr>
        <w:spacing w:line="240" w:before="40" w:after="120"/>
        <w:jc w:val="left"/>
      </w:pPr>
      <w:r>
        <w:rPr>
          <w:rFonts w:ascii="Times New Roman" w:cs="Times New Roman" w:eastAsia="Times New Roman" w:hAnsi="Times New Roman"/>
          <w:i/>
          <w:iCs/>
          <w:sz w:val="20"/>
          <w:szCs w:val="20"/>
        </w:rPr>
        <w:t xml:space="preserve">Source: Author's own construction</w:t>
      </w:r>
    </w:p>
    <w:p>
      <w:pPr>
        <w:spacing w:line="240" w:before="180" w:after="80"/>
        <w:jc w:val="left"/>
      </w:pPr>
      <w:r>
        <w:rPr>
          <w:rFonts w:ascii="Times New Roman" w:cs="Times New Roman" w:eastAsia="Times New Roman" w:hAnsi="Times New Roman"/>
          <w:b/>
          <w:bCs/>
          <w:sz w:val="24"/>
          <w:szCs w:val="24"/>
        </w:rPr>
        <w:t xml:space="preserve">3.2 Participants and Context</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study was conducted at Hanshan Normal University, located within the Chaoshan cultural region of Guangdong Province. This site was selected for its geographic and cultural embeddedness within the living Chaozhou musical tradition and its institutional mandate to develop regional cultural education. Single-site selection is an intentional methodological decision appropriate to the cultural specificity of the study context; it also constitutes a limitation on generalisability, addressed in Section 6.3.</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For Phase 1, twelve syllabi were collected from six universities in Guangdong Province with documentable Chaozhou music provision. These six institutions were selected on the basis of geographic and institutional representativeness and constitute the accessible population of universities offering Chaozhou music courses; they do not constitute a representative sample of the provincial higher education sector as a whole. Expert interview participants (n = 6) were purposively selected on the basis of combined expertise across Chaozhou musicology, performance, and university music pedagogy. Teacher focus group participants (n = 5) were teaching staff from Hanshan Normal University spanning music theory, Chinese instrumental performance, music history, ensemble, and music education pedagogy. The student survey (n = 300) included undergraduate music students across Years 1 to 4 at Hanshan Normal University. Tab. 2 presents the full participant demographic profile.</w:t>
      </w:r>
    </w:p>
    <w:p>
      <w:pPr>
        <w:spacing w:line="240" w:before="180" w:after="60"/>
        <w:jc w:val="left"/>
      </w:pPr>
      <w:r>
        <w:rPr>
          <w:rFonts w:ascii="Times New Roman" w:cs="Times New Roman" w:eastAsia="Times New Roman" w:hAnsi="Times New Roman"/>
          <w:b/>
          <w:bCs/>
          <w:i/>
          <w:iCs/>
          <w:sz w:val="20"/>
          <w:szCs w:val="20"/>
        </w:rPr>
        <w:t xml:space="preserve">Tab. 2: Participant Demographic Profile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40"/>
        <w:gridCol w:w="1680"/>
        <w:gridCol w:w="720"/>
        <w:gridCol w:w="1800"/>
        <w:gridCol w:w="1860"/>
        <w:gridCol w:w="1860"/>
      </w:tblGrid>
      <w:tr>
        <w:tc>
          <w:tcPr>
            <w:tcW w:type="dxa" w:w="144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Phase</w:t>
            </w:r>
          </w:p>
        </w:tc>
        <w:tc>
          <w:tcPr>
            <w:tcW w:type="dxa" w:w="168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Group</w:t>
            </w:r>
          </w:p>
        </w:tc>
        <w:tc>
          <w:tcPr>
            <w:tcW w:type="dxa" w:w="72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n</w:t>
            </w:r>
          </w:p>
        </w:tc>
        <w:tc>
          <w:tcPr>
            <w:tcW w:type="dxa" w:w="18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Year/Role</w:t>
            </w:r>
          </w:p>
        </w:tc>
        <w:tc>
          <w:tcPr>
            <w:tcW w:type="dxa" w:w="186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Specialisation</w:t>
            </w:r>
          </w:p>
        </w:tc>
        <w:tc>
          <w:tcPr>
            <w:tcW w:type="dxa" w:w="186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Prior Chaozhou Exposure</w:t>
            </w:r>
          </w:p>
        </w:tc>
      </w:tr>
      <w:tr>
        <w:tc>
          <w:tcPr>
            <w:tcW w:type="dxa" w:w="144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Phase 1</w:t>
            </w:r>
          </w:p>
        </w:tc>
        <w:tc>
          <w:tcPr>
            <w:tcW w:type="dxa" w:w="16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Undergraduate students</w:t>
            </w:r>
          </w:p>
        </w:tc>
        <w:tc>
          <w:tcPr>
            <w:tcW w:type="dxa" w:w="72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300</w:t>
            </w:r>
          </w:p>
        </w:tc>
        <w:tc>
          <w:tcPr>
            <w:tcW w:type="dxa" w:w="1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Years 1 to 4 (Y1: 28%; Y2: 31%; Y3: 24%; Y4: 17%)</w:t>
            </w:r>
          </w:p>
        </w:tc>
        <w:tc>
          <w:tcPr>
            <w:tcW w:type="dxa" w:w="18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Pipa 22%; Erhu 19%; Guzheng 18%; Other 41%</w:t>
            </w:r>
          </w:p>
        </w:tc>
        <w:tc>
          <w:tcPr>
            <w:tcW w:type="dxa" w:w="18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No formal prior: 67%; informal: 33%</w:t>
            </w:r>
          </w:p>
        </w:tc>
      </w:tr>
      <w:tr>
        <w:tc>
          <w:tcPr>
            <w:tcW w:type="dxa" w:w="144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Phase 1</w:t>
            </w:r>
          </w:p>
        </w:tc>
        <w:tc>
          <w:tcPr>
            <w:tcW w:type="dxa" w:w="16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Domain experts</w:t>
            </w:r>
          </w:p>
        </w:tc>
        <w:tc>
          <w:tcPr>
            <w:tcW w:type="dxa" w:w="72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6</w:t>
            </w:r>
          </w:p>
        </w:tc>
        <w:tc>
          <w:tcPr>
            <w:tcW w:type="dxa" w:w="1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Senior academics and practitioners (8 to 24 years experience)</w:t>
            </w:r>
          </w:p>
        </w:tc>
        <w:tc>
          <w:tcPr>
            <w:tcW w:type="dxa" w:w="18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Chaozhou musicology and pedagogy</w:t>
            </w:r>
          </w:p>
        </w:tc>
        <w:tc>
          <w:tcPr>
            <w:tcW w:type="dxa" w:w="18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Expert in Chaozhou tradition</w:t>
            </w:r>
          </w:p>
        </w:tc>
      </w:tr>
      <w:tr>
        <w:tc>
          <w:tcPr>
            <w:tcW w:type="dxa" w:w="144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Phase 1</w:t>
            </w:r>
          </w:p>
        </w:tc>
        <w:tc>
          <w:tcPr>
            <w:tcW w:type="dxa" w:w="16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University teachers (FGD)</w:t>
            </w:r>
          </w:p>
        </w:tc>
        <w:tc>
          <w:tcPr>
            <w:tcW w:type="dxa" w:w="72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w:t>
            </w:r>
          </w:p>
        </w:tc>
        <w:tc>
          <w:tcPr>
            <w:tcW w:type="dxa" w:w="1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Teaching staff (5 to 18 years experience)</w:t>
            </w:r>
          </w:p>
        </w:tc>
        <w:tc>
          <w:tcPr>
            <w:tcW w:type="dxa" w:w="18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Music theory, Chinese instrumental performance, music history, ensemble, music education pedagogy</w:t>
            </w:r>
          </w:p>
        </w:tc>
        <w:tc>
          <w:tcPr>
            <w:tcW w:type="dxa" w:w="18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Moderate to high</w:t>
            </w:r>
          </w:p>
        </w:tc>
      </w:tr>
      <w:tr>
        <w:tc>
          <w:tcPr>
            <w:tcW w:type="dxa" w:w="144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Phase 3</w:t>
            </w:r>
          </w:p>
        </w:tc>
        <w:tc>
          <w:tcPr>
            <w:tcW w:type="dxa" w:w="16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CVI expert panel</w:t>
            </w:r>
          </w:p>
        </w:tc>
        <w:tc>
          <w:tcPr>
            <w:tcW w:type="dxa" w:w="72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w:t>
            </w:r>
          </w:p>
        </w:tc>
        <w:tc>
          <w:tcPr>
            <w:tcW w:type="dxa" w:w="1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Two curriculum scholars; two master musicians (intangible heritage); one assessment specialist</w:t>
            </w:r>
          </w:p>
        </w:tc>
        <w:tc>
          <w:tcPr>
            <w:tcW w:type="dxa" w:w="18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Musicology; music education; curriculum design</w:t>
            </w:r>
          </w:p>
        </w:tc>
        <w:tc>
          <w:tcPr>
            <w:tcW w:type="dxa" w:w="18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High</w:t>
            </w:r>
          </w:p>
        </w:tc>
      </w:tr>
      <w:tr>
        <w:tc>
          <w:tcPr>
            <w:tcW w:type="dxa" w:w="144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Phase 3</w:t>
            </w:r>
          </w:p>
        </w:tc>
        <w:tc>
          <w:tcPr>
            <w:tcW w:type="dxa" w:w="16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Feasibility students</w:t>
            </w:r>
          </w:p>
        </w:tc>
        <w:tc>
          <w:tcPr>
            <w:tcW w:type="dxa" w:w="72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100</w:t>
            </w:r>
          </w:p>
        </w:tc>
        <w:tc>
          <w:tcPr>
            <w:tcW w:type="dxa" w:w="1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Years 2 to 3 (Y2: 54%; Y3: 46%)</w:t>
            </w:r>
          </w:p>
        </w:tc>
        <w:tc>
          <w:tcPr>
            <w:tcW w:type="dxa" w:w="18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Representative of Phase 1 profile</w:t>
            </w:r>
          </w:p>
        </w:tc>
        <w:tc>
          <w:tcPr>
            <w:tcW w:type="dxa" w:w="18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Informal: 41%</w:t>
            </w:r>
          </w:p>
        </w:tc>
      </w:tr>
    </w:tbl>
    <w:p>
      <w:pPr>
        <w:spacing w:line="240" w:before="40" w:after="120"/>
        <w:jc w:val="left"/>
      </w:pPr>
      <w:r>
        <w:rPr>
          <w:rFonts w:ascii="Times New Roman" w:cs="Times New Roman" w:eastAsia="Times New Roman" w:hAnsi="Times New Roman"/>
          <w:i/>
          <w:iCs/>
          <w:sz w:val="20"/>
          <w:szCs w:val="20"/>
        </w:rPr>
        <w:t xml:space="preserve">Source: Author's own construction</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For the Phase 3 CVI validation, the expert panel (n = 5) was intentionally distinct from the Phase 1 interview participants to reduce confirmation bias. A panel of five meets the minimum threshold recommended by Lynn (1986); this is acknowledged as a limitation (see Section 6.3). The researcher's positionality as a practising music educator at the research site introduces potential insider bias in Phase 2. This was managed through reflexive memo-writing throughout data collection and analysis, peer debriefing with an external colleague, and strict separation of the researcher's constructive role in Phase 2 from the independent expert panel validation in Phase 3.</w:t>
      </w:r>
    </w:p>
    <w:p>
      <w:pPr>
        <w:spacing w:line="240" w:before="180" w:after="80"/>
        <w:jc w:val="left"/>
      </w:pPr>
      <w:r>
        <w:rPr>
          <w:rFonts w:ascii="Times New Roman" w:cs="Times New Roman" w:eastAsia="Times New Roman" w:hAnsi="Times New Roman"/>
          <w:b/>
          <w:bCs/>
          <w:sz w:val="24"/>
          <w:szCs w:val="24"/>
        </w:rPr>
        <w:t xml:space="preserve">3.3 Data Collection Instruments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All research instruments underwent CVI validation prior to use. Instrument development followed a three-stage pathway: initial item generation from the empirical literature on traditional music curriculum needs and Kolb's experiential learning dimensions; expert review for cultural fit and disciplinary relevance by three Chaozhou music specialists; and pilot testing with 30 students (student survey) or expert review (qualitative guides), with revision of items failing to meet the I-CVI threshold of 0.80. Items specifically addressing </w:t>
      </w:r>
      <w:r>
        <w:rPr>
          <w:rFonts w:ascii="Times New Roman" w:cs="Times New Roman" w:eastAsia="Times New Roman" w:hAnsi="Times New Roman"/>
          <w:b w:val="false"/>
          <w:bCs w:val="false"/>
          <w:i/>
          <w:iCs/>
          <w:sz w:val="24"/>
          <w:szCs w:val="24"/>
        </w:rPr>
        <w:t xml:space="preserve">Er Si Pu</w:t>
      </w:r>
      <w:r>
        <w:rPr>
          <w:rFonts w:ascii="Times New Roman" w:cs="Times New Roman" w:eastAsia="Times New Roman" w:hAnsi="Times New Roman"/>
          <w:b w:val="false"/>
          <w:bCs w:val="false"/>
          <w:i w:val="false"/>
          <w:iCs w:val="false"/>
          <w:sz w:val="24"/>
          <w:szCs w:val="24"/>
        </w:rPr>
        <w:t xml:space="preserve"> notation, </w:t>
      </w:r>
      <w:r>
        <w:rPr>
          <w:rFonts w:ascii="Times New Roman" w:cs="Times New Roman" w:eastAsia="Times New Roman" w:hAnsi="Times New Roman"/>
          <w:b w:val="false"/>
          <w:bCs w:val="false"/>
          <w:i/>
          <w:iCs/>
          <w:sz w:val="24"/>
          <w:szCs w:val="24"/>
        </w:rPr>
        <w:t xml:space="preserve">jiahua</w:t>
      </w:r>
      <w:r>
        <w:rPr>
          <w:rFonts w:ascii="Times New Roman" w:cs="Times New Roman" w:eastAsia="Times New Roman" w:hAnsi="Times New Roman"/>
          <w:b w:val="false"/>
          <w:bCs w:val="false"/>
          <w:i w:val="false"/>
          <w:iCs w:val="false"/>
          <w:sz w:val="24"/>
          <w:szCs w:val="24"/>
        </w:rPr>
        <w:t xml:space="preserve"> improvisation, and ensemble coordination were newly developed rather than adapted from existing literature, given the absence of validated instruments for this specific tradition. The semi-structured interview guide (26 items) achieved S-CVI/Ave = 0.94; the teacher FGD protocol (12 items) achieved S-CVI/Ave = 0.92; the student needs questionnaire (22 items) achieved S-CVI/Ave = 0.95; and the framework evaluation questionnaire (29 items) achieved S-CVI/Ave = 0.93.</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Phase 1 employed four data collection methods. Document analysis of twelve syllabi used a structured framework examining ILO formulation, TLA variety, assessment design, and ensemble content coverage across four dimensions based on Tyler's Objective Model, scored on a three-point scale. Six semi-structured expert interviews were conducted using the 26-item protocol addressing curriculum design priorities, transmission epistemology, and assessment challenges; each lasted 45 to 75 minutes and was audio-recorded and transcribed verbatim. Five teacher FGDs of 60 to 90 minutes each explored pedagogical practice, student readiness, and institutional constraints. The 42-item student survey was organised across six constructs aligned with Kolb's experiential learning cycle (concrete experience, reflective observation, abstract conceptualisation, active experimentation) and supplementary constructs for curriculum content needs and motivation/identity; all items used a five-point Likert scale (1 = strongly disagree; 5 = strongly agree). Pilot testing with 30 students produced a Cronbach's alpha of 0.86.</w:t>
      </w:r>
    </w:p>
    <w:p>
      <w:pPr>
        <w:spacing w:line="240" w:before="180" w:after="80"/>
        <w:jc w:val="left"/>
      </w:pPr>
      <w:r>
        <w:rPr>
          <w:rFonts w:ascii="Times New Roman" w:cs="Times New Roman" w:eastAsia="Times New Roman" w:hAnsi="Times New Roman"/>
          <w:b/>
          <w:bCs/>
          <w:sz w:val="24"/>
          <w:szCs w:val="24"/>
        </w:rPr>
        <w:t xml:space="preserve">3.4 Data Analysis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Phase 1 qualitative data from expert interviews and teacher FGDs were analysed using Braun and Clarke's (2006) six-phase reflexive thematic analysis procedure. Initial open coding of all interview and FGD transcripts generated 87 codes close to participants' own language. Through constant comparison across participants, semantically similar codes were grouped into analytical categories based on conceptual coherence. Categories were retained as sub-themes only when they met three criteria: appearance across multiple participants indicating shared rather than idiosyncratic meaning; internal conceptual consistency; and explanatory relevance to curriculum design. This produced six sub-themes clustered under three core themes. All six expert participants contributed data to at least one core theme. A second coder independently coded 20 per cent of the interview data, producing inter-rater agreement of 84 per cent prior to reconciliation through consensual discussion. Percentage agreement is acknowledged as a modest reliability index compared with Cohen's kappa; it is reported as a partial indicator of coding robustness rather than definitive confirmation of reliability. Tab. 3 presents the core themes with exemplar quotations and their corresponding framework decisions.</w:t>
      </w:r>
    </w:p>
    <w:p>
      <w:pPr>
        <w:spacing w:line="240" w:before="180" w:after="60"/>
        <w:jc w:val="left"/>
      </w:pPr>
      <w:r>
        <w:rPr>
          <w:rFonts w:ascii="Times New Roman" w:cs="Times New Roman" w:eastAsia="Times New Roman" w:hAnsi="Times New Roman"/>
          <w:b/>
          <w:bCs/>
          <w:i/>
          <w:iCs/>
          <w:sz w:val="20"/>
          <w:szCs w:val="20"/>
        </w:rPr>
        <w:t xml:space="preserve">Tab. 3: Thematic Analysis: Core Themes, Exemplar Quotations, and Framework Decisions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080"/>
        <w:gridCol w:w="3680"/>
        <w:gridCol w:w="3600"/>
      </w:tblGrid>
      <w:tr>
        <w:tc>
          <w:tcPr>
            <w:tcW w:type="dxa" w:w="208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Core Theme</w:t>
            </w:r>
          </w:p>
        </w:tc>
        <w:tc>
          <w:tcPr>
            <w:tcW w:type="dxa" w:w="368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Exemplar Quotation (translated from Mandarin)</w:t>
            </w:r>
          </w:p>
        </w:tc>
        <w:tc>
          <w:tcPr>
            <w:tcW w:type="dxa" w:w="36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Framework Design Decision</w:t>
            </w:r>
          </w:p>
        </w:tc>
      </w:tr>
      <w:tr>
        <w:tc>
          <w:tcPr>
            <w:tcW w:type="dxa" w:w="20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Somatic priority in transmission</w:t>
            </w:r>
          </w:p>
        </w:tc>
        <w:tc>
          <w:tcPr>
            <w:tcW w:type="dxa" w:w="36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"Do not talk about history first. Let them touch the instruments. The physical sensation must come first." (EXP-04)</w:t>
            </w:r>
          </w:p>
        </w:tc>
        <w:tc>
          <w:tcPr>
            <w:tcW w:type="dxa" w:w="36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Stage 1: Somatic Immersion prioritised prior to analytical articulation; concrete experience as curriculum entry point</w:t>
            </w:r>
          </w:p>
        </w:tc>
      </w:tr>
      <w:tr>
        <w:tc>
          <w:tcPr>
            <w:tcW w:type="dxa" w:w="20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Irreducibility of relational competence</w:t>
            </w:r>
          </w:p>
        </w:tc>
        <w:tc>
          <w:tcPr>
            <w:tcW w:type="dxa" w:w="36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"Weaker students hide behind the loud drums. I cannot hear them individually." (TCH-03)</w:t>
            </w:r>
          </w:p>
        </w:tc>
        <w:tc>
          <w:tcPr>
            <w:tcW w:type="dxa" w:w="36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Ensemble Relationality as fourth RCA alignment axis; 30% ensemble weighting in split-weighting assessment strategy</w:t>
            </w:r>
          </w:p>
        </w:tc>
      </w:tr>
      <w:tr>
        <w:tc>
          <w:tcPr>
            <w:tcW w:type="dxa" w:w="20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Systemic absence of ensemble outcomes and authentic assessment</w:t>
            </w:r>
          </w:p>
        </w:tc>
        <w:tc>
          <w:tcPr>
            <w:tcW w:type="dxa" w:w="36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"Professor X looks for spirit, I look for rhythm. We argue because we have no standard rubric." (TCH-01)</w:t>
            </w:r>
          </w:p>
        </w:tc>
        <w:tc>
          <w:tcPr>
            <w:tcW w:type="dxa" w:w="36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Split-weighting assessment strategy with explicit ILOs for ensemble competence; descriptive rubrics grounded in Chaozhou aesthetic logic</w:t>
            </w:r>
          </w:p>
        </w:tc>
      </w:tr>
      <w:tr>
        <w:tc>
          <w:tcPr>
            <w:tcW w:type="dxa" w:w="20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Authenticity crisis in institutionalisation: notation as culture</w:t>
            </w:r>
          </w:p>
        </w:tc>
        <w:tc>
          <w:tcPr>
            <w:tcW w:type="dxa" w:w="36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"Translating everything into numbered notation simplifies the music. The notation itself is the culture." (EXP-03)</w:t>
            </w:r>
          </w:p>
        </w:tc>
        <w:tc>
          <w:tcPr>
            <w:tcW w:type="dxa" w:w="36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Dual-notation scaffolding in Stage 1 and 2; </w:t>
            </w:r>
            <w:r>
              <w:rPr>
                <w:rFonts w:ascii="Times New Roman" w:cs="Times New Roman" w:eastAsia="Times New Roman" w:hAnsi="Times New Roman"/>
                <w:b w:val="false"/>
                <w:bCs w:val="false"/>
                <w:i/>
                <w:iCs/>
                <w:sz w:val="18"/>
                <w:szCs w:val="18"/>
              </w:rPr>
              <w:t xml:space="preserve">Er Si Pu</w:t>
            </w:r>
            <w:r>
              <w:rPr>
                <w:rFonts w:ascii="Times New Roman" w:cs="Times New Roman" w:eastAsia="Times New Roman" w:hAnsi="Times New Roman"/>
                <w:b w:val="false"/>
                <w:bCs w:val="false"/>
                <w:i w:val="false"/>
                <w:iCs w:val="false"/>
                <w:sz w:val="18"/>
                <w:szCs w:val="18"/>
              </w:rPr>
              <w:t xml:space="preserve"> modal logic foregrounded from Week 5 onwards as primary framework</w:t>
            </w:r>
          </w:p>
        </w:tc>
      </w:tr>
    </w:tbl>
    <w:p>
      <w:pPr>
        <w:spacing w:line="240" w:before="40" w:after="120"/>
        <w:jc w:val="left"/>
      </w:pPr>
      <w:r>
        <w:rPr>
          <w:rFonts w:ascii="Times New Roman" w:cs="Times New Roman" w:eastAsia="Times New Roman" w:hAnsi="Times New Roman"/>
          <w:i/>
          <w:iCs/>
          <w:sz w:val="20"/>
          <w:szCs w:val="20"/>
        </w:rPr>
        <w:t xml:space="preserve">Source: Author's own thematic analysis of interview and FGD transcripts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For Phase 2, Phase 1 findings were systematically synthesised with the theoretical frameworks reviewed in Section 2. Each layer of the three-layer theoretical architecture (Section 4.1) was derived from both theory and Phase 1 empirical findings. Two expert consultation rounds were conducted: an initial review by three Chaozhou music specialists providing feedback on cultural authenticity and pedagogical sequencing; followed by a second review by two curriculum design specialists providing feedback on ILO formulation and assessment alignment. Revisions between rounds were documented in an iterative design log.</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Phase 3 CVI statistics were computed following Lynn (1986) and Polit and Beck (2006). I-CVI was calculated as the proportion of panel members rating each item 3 or 4 on the four-point relevance scale (1 = not relevant; 4 = highly relevant). S-CVI/Ave was calculated as the mean of all I-CVI values. Modified kappa values were also computed as a more conservative measure of agreement. Feasibility survey data were analysed using descriptive statistics, Cronbach's alpha, one-way ANOVA, and Tukey HSD post-hoc analysis (DeVellis, 2017).</w:t>
      </w:r>
    </w:p>
    <w:p>
      <w:pPr>
        <w:spacing w:line="240" w:before="240" w:after="120"/>
        <w:jc w:val="left"/>
      </w:pPr>
      <w:r>
        <w:rPr>
          <w:rFonts w:ascii="Times New Roman" w:cs="Times New Roman" w:eastAsia="Times New Roman" w:hAnsi="Times New Roman"/>
          <w:b/>
          <w:bCs/>
          <w:sz w:val="28"/>
          <w:szCs w:val="28"/>
        </w:rPr>
        <w:t xml:space="preserve">4. THE CHAOZHOU MUSIC CURRICULUM FRAMEWORK AND RELATIONAL CONSTRUCTIVE ALIGNMENT</w:t>
      </w:r>
    </w:p>
    <w:p>
      <w:pPr>
        <w:spacing w:line="240" w:before="180" w:after="80"/>
        <w:jc w:val="left"/>
      </w:pPr>
      <w:r>
        <w:rPr>
          <w:rFonts w:ascii="Times New Roman" w:cs="Times New Roman" w:eastAsia="Times New Roman" w:hAnsi="Times New Roman"/>
          <w:b/>
          <w:bCs/>
          <w:sz w:val="24"/>
          <w:szCs w:val="24"/>
        </w:rPr>
        <w:t xml:space="preserve">4.1 Three-Layer Theoretical Architecture</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CMCF is structured around a three-layer theoretical architecture (Fig. 2) in which each layer was derived from both Phase 1 empirical findings and theoretical considerations. At the macro-structural level, Tyler's (1949) Objective Model provides the institutional rationale for positioning Chaozhou music as a formal academic discipline with explicit, assessable learning purposes. This layer responds directly to the Phase 1 document analysis finding that average objective clarity and specificity scores were 1.8 out of 3 across twelve syllabi and that none included ensemble coordination as a formally assessed outcome. Tyler's function at this level is institutional legitimisation through ILO specification, not aesthetic prescription.</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At the meso-level, Kolb's (1984) experiential learning theory organises pedagogical sequencing, privileging somatic immersion as the curricular entry point. This layer responds to expert consensus, expressed across all six expert interviews, that students require bodily internalisation prior to analytical articulation, and to student survey findings showing the highest mean scores for concrete experience (M = 4.00) and active experimentation (M = 3.94), with comparatively lower scores for abstract conceptualisation (M = 3.65). At the micro-level, CA (Biggs and Tang, 2011), extended through RCA, provides the alignment mechanism, incorporating ensemble relationality as a fourth constitutive axis. This layer responds to the systemic absence of ensemble ILOs in existing syllabi and to teacher FGD evidence of the irreducibility of relational musical competence to individual testing.</w:t>
      </w:r>
    </w:p>
    <w:p>
      <w:pPr>
        <w:spacing w:line="240" w:before="100" w:after="80"/>
        <w:jc w:val="center"/>
      </w:pPr>
      <w:r>
        <w:drawing>
          <wp:inline distT="0" distB="0" distL="0" distR="0">
            <wp:extent cx="4457700" cy="2514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457700" cy="2514600"/>
                    </a:xfrm>
                    <a:prstGeom prst="rect">
                      <a:avLst/>
                    </a:prstGeom>
                  </pic:spPr>
                </pic:pic>
              </a:graphicData>
            </a:graphic>
          </wp:inline>
        </w:drawing>
      </w:r>
    </w:p>
    <w:p>
      <w:pPr>
        <w:spacing w:line="240" w:before="60" w:after="60"/>
        <w:jc w:val="center"/>
      </w:pPr>
      <w:r>
        <w:rPr>
          <w:rFonts w:ascii="Times New Roman" w:cs="Times New Roman" w:eastAsia="Times New Roman" w:hAnsi="Times New Roman"/>
          <w:i/>
          <w:iCs/>
          <w:sz w:val="20"/>
          <w:szCs w:val="20"/>
        </w:rPr>
        <w:t xml:space="preserve">Fig. 2: Three-layer theoretical architecture of the CMCF.</w:t>
      </w:r>
    </w:p>
    <w:p>
      <w:pPr>
        <w:spacing w:line="240" w:before="40" w:after="100"/>
        <w:jc w:val="both"/>
      </w:pPr>
      <w:r>
        <w:rPr>
          <w:rFonts w:ascii="Times New Roman" w:cs="Times New Roman" w:eastAsia="Times New Roman" w:hAnsi="Times New Roman"/>
          <w:i/>
          <w:iCs/>
          <w:sz w:val="20"/>
          <w:szCs w:val="20"/>
        </w:rPr>
        <w:t xml:space="preserve">Note: Each layer was derived from both Phase 1 empirical findings and theoretical frameworks. Tyler (macro) addresses institutional legitimisation; Kolb (meso) addresses pedagogical sequencing; RCA (micro) addresses alignment architecture.</w:t>
      </w:r>
    </w:p>
    <w:p>
      <w:pPr>
        <w:spacing w:line="240" w:before="180" w:after="80"/>
        <w:jc w:val="left"/>
      </w:pPr>
      <w:r>
        <w:rPr>
          <w:rFonts w:ascii="Times New Roman" w:cs="Times New Roman" w:eastAsia="Times New Roman" w:hAnsi="Times New Roman"/>
          <w:b/>
          <w:bCs/>
          <w:sz w:val="24"/>
          <w:szCs w:val="24"/>
        </w:rPr>
        <w:t xml:space="preserve">4.2 Relational Constructive Alignment: What the Fourth Axis Changes in Practice</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RCA maintains CA's core structural principle that curriculum components must be systematically aligned, but extends its scope by incorporating ensemble relationality as a fourth alignment axis. A direct question the framework must address is: what does the fourth axis change in practice? The answer operates across four dimensions of curriculum design.</w:t>
      </w:r>
    </w:p>
    <w:p>
      <w:pPr>
        <w:spacing w:line="240" w:before="0" w:after="100"/>
        <w:jc w:val="both"/>
      </w:pPr>
      <w:r>
        <w:rPr>
          <w:rFonts w:ascii="Times New Roman" w:cs="Times New Roman" w:eastAsia="Times New Roman" w:hAnsi="Times New Roman"/>
          <w:b/>
          <w:bCs/>
          <w:i w:val="false"/>
          <w:iCs w:val="false"/>
          <w:sz w:val="24"/>
          <w:szCs w:val="24"/>
        </w:rPr>
        <w:t xml:space="preserve">ILO writing: </w:t>
      </w:r>
      <w:r>
        <w:rPr>
          <w:rFonts w:ascii="Times New Roman" w:cs="Times New Roman" w:eastAsia="Times New Roman" w:hAnsi="Times New Roman"/>
          <w:b w:val="false"/>
          <w:bCs w:val="false"/>
          <w:i w:val="false"/>
          <w:iCs w:val="false"/>
          <w:sz w:val="24"/>
          <w:szCs w:val="24"/>
        </w:rPr>
        <w:t xml:space="preserve">Conventional CA ILOs specify individually observable operations. Under RCA, ILOs are reformulated to specify both individual technical competencies and ensemble relational capacities. For example, rather than "student can perform five representative repertoire pieces at MM=80 with correct fingering", the RCA ILO reads: "student can perform representative repertoire in ensemble context demonstrating correct </w:t>
      </w:r>
      <w:r>
        <w:rPr>
          <w:rFonts w:ascii="Times New Roman" w:cs="Times New Roman" w:eastAsia="Times New Roman" w:hAnsi="Times New Roman"/>
          <w:b w:val="false"/>
          <w:bCs w:val="false"/>
          <w:i/>
          <w:iCs/>
          <w:sz w:val="24"/>
          <w:szCs w:val="24"/>
        </w:rPr>
        <w:t xml:space="preserve">yun</w:t>
      </w:r>
      <w:r>
        <w:rPr>
          <w:rFonts w:ascii="Times New Roman" w:cs="Times New Roman" w:eastAsia="Times New Roman" w:hAnsi="Times New Roman"/>
          <w:b w:val="false"/>
          <w:bCs w:val="false"/>
          <w:i w:val="false"/>
          <w:iCs w:val="false"/>
          <w:sz w:val="24"/>
          <w:szCs w:val="24"/>
        </w:rPr>
        <w:t xml:space="preserve"> through microtonal inflection and responsive timbral adjustment to the lead instrument's phrasing."</w:t>
      </w:r>
    </w:p>
    <w:p>
      <w:pPr>
        <w:spacing w:line="240" w:before="0" w:after="100"/>
        <w:jc w:val="both"/>
      </w:pPr>
      <w:r>
        <w:rPr>
          <w:rFonts w:ascii="Times New Roman" w:cs="Times New Roman" w:eastAsia="Times New Roman" w:hAnsi="Times New Roman"/>
          <w:b/>
          <w:bCs/>
          <w:i w:val="false"/>
          <w:iCs w:val="false"/>
          <w:sz w:val="24"/>
          <w:szCs w:val="24"/>
        </w:rPr>
        <w:t xml:space="preserve">TLA design: </w:t>
      </w:r>
      <w:r>
        <w:rPr>
          <w:rFonts w:ascii="Times New Roman" w:cs="Times New Roman" w:eastAsia="Times New Roman" w:hAnsi="Times New Roman"/>
          <w:b w:val="false"/>
          <w:bCs w:val="false"/>
          <w:i w:val="false"/>
          <w:iCs w:val="false"/>
          <w:sz w:val="24"/>
          <w:szCs w:val="24"/>
        </w:rPr>
        <w:t xml:space="preserve">Under RCA, TLAs must provide regular ensemble rehearsal contexts rather than individual practice alone. Station rotation pedagogy places ensemble interaction at every phase of learning: Station A provides individual posture and technique correction; Station B requires listening and responding to recorded ensemble performances; Station C involves live peer practice within the ensemble context.</w:t>
      </w:r>
    </w:p>
    <w:p>
      <w:pPr>
        <w:spacing w:line="240" w:before="0" w:after="100"/>
        <w:jc w:val="both"/>
      </w:pPr>
      <w:r>
        <w:rPr>
          <w:rFonts w:ascii="Times New Roman" w:cs="Times New Roman" w:eastAsia="Times New Roman" w:hAnsi="Times New Roman"/>
          <w:b/>
          <w:bCs/>
          <w:i w:val="false"/>
          <w:iCs w:val="false"/>
          <w:sz w:val="24"/>
          <w:szCs w:val="24"/>
        </w:rPr>
        <w:t xml:space="preserve">Assessment design: </w:t>
      </w:r>
      <w:r>
        <w:rPr>
          <w:rFonts w:ascii="Times New Roman" w:cs="Times New Roman" w:eastAsia="Times New Roman" w:hAnsi="Times New Roman"/>
          <w:b w:val="false"/>
          <w:bCs w:val="false"/>
          <w:i w:val="false"/>
          <w:iCs w:val="false"/>
          <w:sz w:val="24"/>
          <w:szCs w:val="24"/>
        </w:rPr>
        <w:t xml:space="preserve">The fourth axis requires a split-weighting assessment strategy (Section 4.4). Individual solo examination (50%) maintains individual accountability. Ensemble relational competence (30%) is assessed through individual-level observation of how each student performs within the ensemble, not through group grading. Process portfolio (20%) captures the tacit knowledge acquisition trajectory.</w:t>
      </w:r>
    </w:p>
    <w:p>
      <w:pPr>
        <w:spacing w:line="240" w:before="0" w:after="100"/>
        <w:jc w:val="both"/>
      </w:pPr>
      <w:r>
        <w:rPr>
          <w:rFonts w:ascii="Times New Roman" w:cs="Times New Roman" w:eastAsia="Times New Roman" w:hAnsi="Times New Roman"/>
          <w:b/>
          <w:bCs/>
          <w:i w:val="false"/>
          <w:iCs w:val="false"/>
          <w:sz w:val="24"/>
          <w:szCs w:val="24"/>
        </w:rPr>
        <w:t xml:space="preserve">Teacher judgement: </w:t>
      </w:r>
      <w:r>
        <w:rPr>
          <w:rFonts w:ascii="Times New Roman" w:cs="Times New Roman" w:eastAsia="Times New Roman" w:hAnsi="Times New Roman"/>
          <w:b w:val="false"/>
          <w:bCs w:val="false"/>
          <w:i w:val="false"/>
          <w:iCs w:val="false"/>
          <w:sz w:val="24"/>
          <w:szCs w:val="24"/>
        </w:rPr>
        <w:t xml:space="preserve">RCA requires teachers to develop descriptive qualitative rubrics for ensemble relational competence. Where conventional CA rubrics assess technical accuracy against fixed criteria, RCA rubrics evaluate contextual responsiveness, timbral balance contribution, and anticipatory </w:t>
      </w:r>
      <w:r>
        <w:rPr>
          <w:rFonts w:ascii="Times New Roman" w:cs="Times New Roman" w:eastAsia="Times New Roman" w:hAnsi="Times New Roman"/>
          <w:b w:val="false"/>
          <w:bCs w:val="false"/>
          <w:i/>
          <w:iCs/>
          <w:sz w:val="24"/>
          <w:szCs w:val="24"/>
        </w:rPr>
        <w:t xml:space="preserve">Ban</w:t>
      </w:r>
      <w:r>
        <w:rPr>
          <w:rFonts w:ascii="Times New Roman" w:cs="Times New Roman" w:eastAsia="Times New Roman" w:hAnsi="Times New Roman"/>
          <w:b w:val="false"/>
          <w:bCs w:val="false"/>
          <w:i w:val="false"/>
          <w:iCs w:val="false"/>
          <w:sz w:val="24"/>
          <w:szCs w:val="24"/>
        </w:rPr>
        <w:t xml:space="preserve">-alignment rather than reactive synchronisation. This shifts the teacher's evaluative attention from isolated individual compliance to relational musical participation.</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Tab. 4 presents the comparison between conventional CA and RCA across five dimensions.</w:t>
      </w:r>
    </w:p>
    <w:p>
      <w:pPr>
        <w:spacing w:line="240" w:before="180" w:after="60"/>
        <w:jc w:val="left"/>
      </w:pPr>
      <w:r>
        <w:rPr>
          <w:rFonts w:ascii="Times New Roman" w:cs="Times New Roman" w:eastAsia="Times New Roman" w:hAnsi="Times New Roman"/>
          <w:b/>
          <w:bCs/>
          <w:i/>
          <w:iCs/>
          <w:sz w:val="20"/>
          <w:szCs w:val="20"/>
        </w:rPr>
        <w:t xml:space="preserve">Tab. 4: Conventional CA versus Relational Constructive Alignment (RCA)</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00"/>
        <w:gridCol w:w="3730"/>
        <w:gridCol w:w="3730"/>
      </w:tblGrid>
      <w:tr>
        <w:tc>
          <w:tcPr>
            <w:tcW w:type="dxa" w:w="19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Dimension</w:t>
            </w:r>
          </w:p>
        </w:tc>
        <w:tc>
          <w:tcPr>
            <w:tcW w:type="dxa" w:w="373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Conventional CA (Biggs and Tang, 2011)</w:t>
            </w:r>
          </w:p>
        </w:tc>
        <w:tc>
          <w:tcPr>
            <w:tcW w:type="dxa" w:w="373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Relational Constructive Alignment (RCA)</w:t>
            </w:r>
          </w:p>
        </w:tc>
      </w:tr>
      <w:tr>
        <w:tc>
          <w:tcPr>
            <w:tcW w:type="dxa" w:w="19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Knowledge assumption</w:t>
            </w:r>
          </w:p>
        </w:tc>
        <w:tc>
          <w:tcPr>
            <w:tcW w:type="dxa" w:w="373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Explicit, propositional, measureable</w:t>
            </w:r>
          </w:p>
        </w:tc>
        <w:tc>
          <w:tcPr>
            <w:tcW w:type="dxa" w:w="373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Includes tacit, embodied, somatic, and relational knowledge</w:t>
            </w:r>
          </w:p>
        </w:tc>
      </w:tr>
      <w:tr>
        <w:tc>
          <w:tcPr>
            <w:tcW w:type="dxa" w:w="19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Alignment axes</w:t>
            </w:r>
          </w:p>
        </w:tc>
        <w:tc>
          <w:tcPr>
            <w:tcW w:type="dxa" w:w="373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ILO-TLA-AT (three dimensions; triangular model)</w:t>
            </w:r>
          </w:p>
        </w:tc>
        <w:tc>
          <w:tcPr>
            <w:tcW w:type="dxa" w:w="373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ILO-TLA-AT plus ensemble relationality (four dimensions; tetrahedral model)</w:t>
            </w:r>
          </w:p>
        </w:tc>
      </w:tr>
      <w:tr>
        <w:tc>
          <w:tcPr>
            <w:tcW w:type="dxa" w:w="19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ILO formulation</w:t>
            </w:r>
          </w:p>
        </w:tc>
        <w:tc>
          <w:tcPr>
            <w:tcW w:type="dxa" w:w="373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Active verbs specifying individually observable cognitive or technical operations</w:t>
            </w:r>
          </w:p>
        </w:tc>
        <w:tc>
          <w:tcPr>
            <w:tcW w:type="dxa" w:w="373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Active verbs specifying integrated stylistic competencies including ensemble relational capacities</w:t>
            </w:r>
          </w:p>
        </w:tc>
      </w:tr>
      <w:tr>
        <w:tc>
          <w:tcPr>
            <w:tcW w:type="dxa" w:w="19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Assessment logic</w:t>
            </w:r>
          </w:p>
        </w:tc>
        <w:tc>
          <w:tcPr>
            <w:tcW w:type="dxa" w:w="373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Unified rubric focused on individually measureable outcomes</w:t>
            </w:r>
          </w:p>
        </w:tc>
        <w:tc>
          <w:tcPr>
            <w:tcW w:type="dxa" w:w="373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Split-weighting: individual solo 50%; ensemble relational competence observed at individual level 30%; process portfolio 20%</w:t>
            </w:r>
          </w:p>
        </w:tc>
      </w:tr>
      <w:tr>
        <w:tc>
          <w:tcPr>
            <w:tcW w:type="dxa" w:w="19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Authenticity treatment</w:t>
            </w:r>
          </w:p>
        </w:tc>
        <w:tc>
          <w:tcPr>
            <w:tcW w:type="dxa" w:w="373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Not structurally addressed</w:t>
            </w:r>
          </w:p>
        </w:tc>
        <w:tc>
          <w:tcPr>
            <w:tcW w:type="dxa" w:w="373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Authenticity as negotiated structural integrity; tradition's modal grammar and relational practices protected by design</w:t>
            </w:r>
          </w:p>
        </w:tc>
      </w:tr>
    </w:tbl>
    <w:p>
      <w:pPr>
        <w:spacing w:line="240" w:before="40" w:after="120"/>
        <w:jc w:val="left"/>
      </w:pPr>
      <w:r>
        <w:rPr>
          <w:rFonts w:ascii="Times New Roman" w:cs="Times New Roman" w:eastAsia="Times New Roman" w:hAnsi="Times New Roman"/>
          <w:i/>
          <w:iCs/>
          <w:sz w:val="20"/>
          <w:szCs w:val="20"/>
        </w:rPr>
        <w:t xml:space="preserve">Source: CA dimensions based on Biggs and Tang (2011); RCA dimensions derived from Phase 1 empirical findings and theoretical synthesis</w:t>
      </w:r>
    </w:p>
    <w:p>
      <w:pPr>
        <w:spacing w:line="240" w:before="180" w:after="80"/>
        <w:jc w:val="left"/>
      </w:pPr>
      <w:r>
        <w:rPr>
          <w:rFonts w:ascii="Times New Roman" w:cs="Times New Roman" w:eastAsia="Times New Roman" w:hAnsi="Times New Roman"/>
          <w:b/>
          <w:bCs/>
          <w:sz w:val="24"/>
          <w:szCs w:val="24"/>
        </w:rPr>
        <w:t xml:space="preserve">4.3 Three-Stage Curriculum Architecture</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CMCF organises learning across three sequential developmental stages within a 16-week semester. The temporal distribution of five weeks for Stage 1, six weeks for Stage 2, and five weeks for Stage 3 is presented as an evidence-informed design decision rather than a finalised ideal sequence. The extended Stage 2 reflects expert consensus across all six Phase 1 interviews that the </w:t>
      </w:r>
      <w:r>
        <w:rPr>
          <w:rFonts w:ascii="Times New Roman" w:cs="Times New Roman" w:eastAsia="Times New Roman" w:hAnsi="Times New Roman"/>
          <w:b w:val="false"/>
          <w:bCs w:val="false"/>
          <w:i/>
          <w:iCs/>
          <w:sz w:val="24"/>
          <w:szCs w:val="24"/>
        </w:rPr>
        <w:t xml:space="preserve">Er Si Pu</w:t>
      </w:r>
      <w:r>
        <w:rPr>
          <w:rFonts w:ascii="Times New Roman" w:cs="Times New Roman" w:eastAsia="Times New Roman" w:hAnsi="Times New Roman"/>
          <w:b w:val="false"/>
          <w:bCs w:val="false"/>
          <w:i w:val="false"/>
          <w:iCs w:val="false"/>
          <w:sz w:val="24"/>
          <w:szCs w:val="24"/>
        </w:rPr>
        <w:t xml:space="preserve"> modal system, with its multiple tuning modes and complex ornamental grammar, requires more sustained analytical engagement than the entry and culmination stages. This distribution should be understood as provisional and subject to refinement following implementation. Tab. 5 presents the full architecture.</w:t>
      </w:r>
    </w:p>
    <w:p>
      <w:pPr>
        <w:spacing w:line="240" w:before="180" w:after="60"/>
        <w:jc w:val="left"/>
      </w:pPr>
      <w:r>
        <w:rPr>
          <w:rFonts w:ascii="Times New Roman" w:cs="Times New Roman" w:eastAsia="Times New Roman" w:hAnsi="Times New Roman"/>
          <w:b/>
          <w:bCs/>
          <w:i/>
          <w:iCs/>
          <w:sz w:val="20"/>
          <w:szCs w:val="20"/>
        </w:rPr>
        <w:t xml:space="preserve">Tab. 5: Three-Stage Curriculum Architecture: ILOs, TLAs, and Assessments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200"/>
        <w:gridCol w:w="1360"/>
        <w:gridCol w:w="2000"/>
        <w:gridCol w:w="2020"/>
        <w:gridCol w:w="1780"/>
      </w:tblGrid>
      <w:tr>
        <w:tc>
          <w:tcPr>
            <w:tcW w:type="dxa" w:w="22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Stage</w:t>
            </w:r>
          </w:p>
        </w:tc>
        <w:tc>
          <w:tcPr>
            <w:tcW w:type="dxa" w:w="136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Duration</w:t>
            </w:r>
          </w:p>
        </w:tc>
        <w:tc>
          <w:tcPr>
            <w:tcW w:type="dxa" w:w="20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Example ILO</w:t>
            </w:r>
          </w:p>
        </w:tc>
        <w:tc>
          <w:tcPr>
            <w:tcW w:type="dxa" w:w="202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Example TLA</w:t>
            </w:r>
          </w:p>
        </w:tc>
        <w:tc>
          <w:tcPr>
            <w:tcW w:type="dxa" w:w="178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Example Assessment</w:t>
            </w:r>
          </w:p>
        </w:tc>
      </w:tr>
      <w:tr>
        <w:tc>
          <w:tcPr>
            <w:tcW w:type="dxa" w:w="22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Stage 1: Somatic Immersion</w:t>
            </w:r>
            <w:r>
              <w:rPr>
                <w:rFonts w:ascii="Times New Roman" w:cs="Times New Roman" w:eastAsia="Times New Roman" w:hAnsi="Times New Roman"/>
                <w:b w:val="false"/>
                <w:bCs w:val="false"/>
                <w:i w:val="false"/>
                <w:iCs w:val="false"/>
                <w:sz w:val="18"/>
                <w:szCs w:val="18"/>
              </w:rPr>
              <w:t xml:space="preserve">
(Bridging the Gap)</w:t>
            </w:r>
          </w:p>
        </w:tc>
        <w:tc>
          <w:tcPr>
            <w:tcW w:type="dxa" w:w="13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Weeks 1 to 5</w:t>
            </w:r>
          </w:p>
        </w:tc>
        <w:tc>
          <w:tcPr>
            <w:tcW w:type="dxa" w:w="20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Demonstrate ensemble synchronisation with </w:t>
            </w:r>
            <w:r>
              <w:rPr>
                <w:rFonts w:ascii="Times New Roman" w:cs="Times New Roman" w:eastAsia="Times New Roman" w:hAnsi="Times New Roman"/>
                <w:b w:val="false"/>
                <w:bCs w:val="false"/>
                <w:i/>
                <w:iCs/>
                <w:sz w:val="18"/>
                <w:szCs w:val="18"/>
              </w:rPr>
              <w:t xml:space="preserve">Ban</w:t>
            </w:r>
            <w:r>
              <w:rPr>
                <w:rFonts w:ascii="Times New Roman" w:cs="Times New Roman" w:eastAsia="Times New Roman" w:hAnsi="Times New Roman"/>
                <w:b w:val="false"/>
                <w:bCs w:val="false"/>
                <w:i w:val="false"/>
                <w:iCs w:val="false"/>
                <w:sz w:val="18"/>
                <w:szCs w:val="18"/>
              </w:rPr>
              <w:t xml:space="preserve"> rhythmic pulse in a five-piece ensemble at MM=60 to 80, demonstrating anticipatory rather than reactive response to tempo modulations</w:t>
            </w:r>
          </w:p>
        </w:tc>
        <w:tc>
          <w:tcPr>
            <w:tcW w:type="dxa" w:w="202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Master demonstration and guided imitation; ensemble rehearsal using station rotation (Station A: posture correction; Station B: listening journal identifying </w:t>
            </w:r>
            <w:r>
              <w:rPr>
                <w:rFonts w:ascii="Times New Roman" w:cs="Times New Roman" w:eastAsia="Times New Roman" w:hAnsi="Times New Roman"/>
                <w:b w:val="false"/>
                <w:bCs w:val="false"/>
                <w:i/>
                <w:iCs/>
                <w:sz w:val="18"/>
                <w:szCs w:val="18"/>
              </w:rPr>
              <w:t xml:space="preserve">Cui</w:t>
            </w:r>
            <w:r>
              <w:rPr>
                <w:rFonts w:ascii="Times New Roman" w:cs="Times New Roman" w:eastAsia="Times New Roman" w:hAnsi="Times New Roman"/>
                <w:b w:val="false"/>
                <w:bCs w:val="false"/>
                <w:i w:val="false"/>
                <w:iCs w:val="false"/>
                <w:sz w:val="18"/>
                <w:szCs w:val="18"/>
              </w:rPr>
              <w:t xml:space="preserve">; Station C: peer cipher score practice); dual-notation scaffolding</w:t>
            </w:r>
          </w:p>
        </w:tc>
        <w:tc>
          <w:tcPr>
            <w:tcW w:type="dxa" w:w="17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Ensemble participation rubric (formative, 20%); listening journal submission</w:t>
            </w:r>
          </w:p>
        </w:tc>
      </w:tr>
      <w:tr>
        <w:tc>
          <w:tcPr>
            <w:tcW w:type="dxa" w:w="22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Stage 2: Modal and Structural Consolidation</w:t>
            </w:r>
          </w:p>
        </w:tc>
        <w:tc>
          <w:tcPr>
            <w:tcW w:type="dxa" w:w="13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Weeks 6 to 11</w:t>
            </w:r>
          </w:p>
        </w:tc>
        <w:tc>
          <w:tcPr>
            <w:tcW w:type="dxa" w:w="20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Analyse and perform three </w:t>
            </w:r>
            <w:r>
              <w:rPr>
                <w:rFonts w:ascii="Times New Roman" w:cs="Times New Roman" w:eastAsia="Times New Roman" w:hAnsi="Times New Roman"/>
                <w:b w:val="false"/>
                <w:bCs w:val="false"/>
                <w:i/>
                <w:iCs/>
                <w:sz w:val="18"/>
                <w:szCs w:val="18"/>
              </w:rPr>
              <w:t xml:space="preserve">Er Si Pu</w:t>
            </w:r>
            <w:r>
              <w:rPr>
                <w:rFonts w:ascii="Times New Roman" w:cs="Times New Roman" w:eastAsia="Times New Roman" w:hAnsi="Times New Roman"/>
                <w:b w:val="false"/>
                <w:bCs w:val="false"/>
                <w:i w:val="false"/>
                <w:iCs w:val="false"/>
                <w:sz w:val="18"/>
                <w:szCs w:val="18"/>
              </w:rPr>
              <w:t xml:space="preserve"> modal sequences applying Cui slide (擦弦) and Yin vibrato (吟音) techniques idiomatically in ensemble context</w:t>
            </w:r>
          </w:p>
        </w:tc>
        <w:tc>
          <w:tcPr>
            <w:tcW w:type="dxa" w:w="202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Digital flipped classroom (micro-demonstrations on WeChat prior to class); analytical workshops anchored in performed repertoire; ensemble rehearsal with structured peer critique</w:t>
            </w:r>
          </w:p>
        </w:tc>
        <w:tc>
          <w:tcPr>
            <w:tcW w:type="dxa" w:w="17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Individual solo examination (50%); annotated score analysis</w:t>
            </w:r>
          </w:p>
        </w:tc>
      </w:tr>
      <w:tr>
        <w:tc>
          <w:tcPr>
            <w:tcW w:type="dxa" w:w="22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Stage 3: Creative Inheritance</w:t>
            </w:r>
          </w:p>
        </w:tc>
        <w:tc>
          <w:tcPr>
            <w:tcW w:type="dxa" w:w="13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Weeks 12 to 16</w:t>
            </w:r>
          </w:p>
        </w:tc>
        <w:tc>
          <w:tcPr>
            <w:tcW w:type="dxa" w:w="20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Compose and perform an idiomatic </w:t>
            </w:r>
            <w:r>
              <w:rPr>
                <w:rFonts w:ascii="Times New Roman" w:cs="Times New Roman" w:eastAsia="Times New Roman" w:hAnsi="Times New Roman"/>
                <w:b w:val="false"/>
                <w:bCs w:val="false"/>
                <w:i/>
                <w:iCs/>
                <w:sz w:val="18"/>
                <w:szCs w:val="18"/>
              </w:rPr>
              <w:t xml:space="preserve">jiahua</w:t>
            </w:r>
            <w:r>
              <w:rPr>
                <w:rFonts w:ascii="Times New Roman" w:cs="Times New Roman" w:eastAsia="Times New Roman" w:hAnsi="Times New Roman"/>
                <w:b w:val="false"/>
                <w:bCs w:val="false"/>
                <w:i w:val="false"/>
                <w:iCs w:val="false"/>
                <w:sz w:val="18"/>
                <w:szCs w:val="18"/>
              </w:rPr>
              <w:t xml:space="preserve"> elaboration within ensemble context, demonstrating stylistically bounded creative application within </w:t>
            </w:r>
            <w:r>
              <w:rPr>
                <w:rFonts w:ascii="Times New Roman" w:cs="Times New Roman" w:eastAsia="Times New Roman" w:hAnsi="Times New Roman"/>
                <w:b w:val="false"/>
                <w:bCs w:val="false"/>
                <w:i/>
                <w:iCs/>
                <w:sz w:val="18"/>
                <w:szCs w:val="18"/>
              </w:rPr>
              <w:t xml:space="preserve">Er Si Pu</w:t>
            </w:r>
            <w:r>
              <w:rPr>
                <w:rFonts w:ascii="Times New Roman" w:cs="Times New Roman" w:eastAsia="Times New Roman" w:hAnsi="Times New Roman"/>
                <w:b w:val="false"/>
                <w:bCs w:val="false"/>
                <w:i w:val="false"/>
                <w:iCs w:val="false"/>
                <w:sz w:val="18"/>
                <w:szCs w:val="18"/>
              </w:rPr>
              <w:t xml:space="preserve"> modal grammar</w:t>
            </w:r>
          </w:p>
        </w:tc>
        <w:tc>
          <w:tcPr>
            <w:tcW w:type="dxa" w:w="202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Guided improvisation seminars; community practitioner guest sessions; ensemble creative projects with explicit stylistic boundary specification (see Section 5.3 for boundary negotiation issue)</w:t>
            </w:r>
          </w:p>
        </w:tc>
        <w:tc>
          <w:tcPr>
            <w:tcW w:type="dxa" w:w="178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Ensemble group performance scored at individual level (30%); capstone portfolio (20%)</w:t>
            </w:r>
          </w:p>
        </w:tc>
      </w:tr>
    </w:tbl>
    <w:p>
      <w:pPr>
        <w:spacing w:line="240" w:before="40" w:after="120"/>
        <w:jc w:val="left"/>
      </w:pPr>
      <w:r>
        <w:rPr>
          <w:rFonts w:ascii="Times New Roman" w:cs="Times New Roman" w:eastAsia="Times New Roman" w:hAnsi="Times New Roman"/>
          <w:i/>
          <w:iCs/>
          <w:sz w:val="20"/>
          <w:szCs w:val="20"/>
        </w:rPr>
        <w:t xml:space="preserve">Source: Author's own construction</w:t>
      </w:r>
    </w:p>
    <w:p>
      <w:pPr>
        <w:spacing w:line="240" w:before="40" w:after="100"/>
        <w:jc w:val="both"/>
      </w:pPr>
      <w:r>
        <w:rPr>
          <w:rFonts w:ascii="Times New Roman" w:cs="Times New Roman" w:eastAsia="Times New Roman" w:hAnsi="Times New Roman"/>
          <w:i/>
          <w:iCs/>
          <w:sz w:val="20"/>
          <w:szCs w:val="20"/>
        </w:rPr>
        <w:t xml:space="default"/>
      </w:r>
    </w:p>
    <w:p>
      <w:pPr>
        <w:spacing w:line="240" w:before="0" w:after="100"/>
        <w:jc w:val="both"/>
      </w:pPr>
      <w:r>
        <w:rPr>
          <w:rFonts w:ascii="Times New Roman" w:cs="Times New Roman" w:eastAsia="Times New Roman" w:hAnsi="Times New Roman"/>
          <w:b w:val="false"/>
          <w:bCs w:val="false"/>
          <w:i w:val="false"/>
          <w:iCs w:val="false"/>
          <w:sz w:val="24"/>
          <w:szCs w:val="24"/>
        </w:rPr>
        <w:t xml:space="preserve">Stage 1, where the term somatic refers to full-body, pre-reflective physical engagement preceding conscious analysis, prioritises embodied practice before theoretical abstraction. This design decision was informed by Phase 1 expert unanimity: all six experts emphasised body-first immersion. EXP-04 stated: "Do not talk about history first. Let them touch the instruments. The physical sensation must come first." The teacher FGD further revealed that 67 per cent of students enter the programme without prior formal Chaozhou music exposure, confirming that the curriculum must assume a zero-basis starting point rather than presuming cultural inheritance.</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Stage 2 introduces explicit analytical articulation anchored in performed repertoire after somatic familiarisation, addressing the document analysis finding that existing syllabi provided minimal coverage of the </w:t>
      </w:r>
      <w:r>
        <w:rPr>
          <w:rFonts w:ascii="Times New Roman" w:cs="Times New Roman" w:eastAsia="Times New Roman" w:hAnsi="Times New Roman"/>
          <w:b w:val="false"/>
          <w:bCs w:val="false"/>
          <w:i/>
          <w:iCs/>
          <w:sz w:val="24"/>
          <w:szCs w:val="24"/>
        </w:rPr>
        <w:t xml:space="preserve">Er Si Pu</w:t>
      </w:r>
      <w:r>
        <w:rPr>
          <w:rFonts w:ascii="Times New Roman" w:cs="Times New Roman" w:eastAsia="Times New Roman" w:hAnsi="Times New Roman"/>
          <w:b w:val="false"/>
          <w:bCs w:val="false"/>
          <w:i w:val="false"/>
          <w:iCs w:val="false"/>
          <w:sz w:val="24"/>
          <w:szCs w:val="24"/>
        </w:rPr>
        <w:t xml:space="preserve"> system (average score 1.3 out of 3 for theoretical depth) and relied heavily on Western notation. Stage 3 introduces guided improvisation and stylistically bounded creative application, with </w:t>
      </w:r>
      <w:r>
        <w:rPr>
          <w:rFonts w:ascii="Times New Roman" w:cs="Times New Roman" w:eastAsia="Times New Roman" w:hAnsi="Times New Roman"/>
          <w:b w:val="false"/>
          <w:bCs w:val="false"/>
          <w:i/>
          <w:iCs/>
          <w:sz w:val="24"/>
          <w:szCs w:val="24"/>
        </w:rPr>
        <w:t xml:space="preserve">jiahua</w:t>
      </w:r>
      <w:r>
        <w:rPr>
          <w:rFonts w:ascii="Times New Roman" w:cs="Times New Roman" w:eastAsia="Times New Roman" w:hAnsi="Times New Roman"/>
          <w:b w:val="false"/>
          <w:bCs w:val="false"/>
          <w:i w:val="false"/>
          <w:iCs w:val="false"/>
          <w:sz w:val="24"/>
          <w:szCs w:val="24"/>
        </w:rPr>
        <w:t xml:space="preserve"> elaboration as the culmination of structural mastery. EXP-04 stated: "A student is not a master until they can add flowers. We must assess their variations." The creative boundaries in Stage 3 require explicit specification in implementation guidelines; the post-validation focus group discussion revealed expert disagreement on these boundaries, discussed in Section 5.3.</w:t>
      </w:r>
    </w:p>
    <w:p>
      <w:pPr>
        <w:spacing w:line="240" w:before="180" w:after="80"/>
        <w:jc w:val="left"/>
      </w:pPr>
      <w:r>
        <w:rPr>
          <w:rFonts w:ascii="Times New Roman" w:cs="Times New Roman" w:eastAsia="Times New Roman" w:hAnsi="Times New Roman"/>
          <w:b/>
          <w:bCs/>
          <w:sz w:val="24"/>
          <w:szCs w:val="24"/>
        </w:rPr>
        <w:t xml:space="preserve">4.4 Assessment Reconfiguration: The Split-Weighting Strategy</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Assessment coherence within the CMCF is achieved through a split-weighting strategy disaggregating student evaluation into three components. The 50 per cent individual allocation acknowledges institutional accountability requirements within Chinese higher education quality assurance. The 30 per cent ensemble weighting reflects expert consensus from Phase 1: four of six expert interview participants stated explicitly that a weighting of below 25 per cent for ensemble performance would fail to signal its pedagogical importance; the 30 per cent figure represents the midpoint of the suggested range (25 to 40 per cent) after accounting for institutional feasibility constraints. The 20 per cent portfolio weighting recognises that process documentation captures the tacit knowledge acquisition trajectory (Boud and Falchikov, 2007).</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A central question the framework must address is whether relational competence can be assessed without being reabsorbed into an individualised judging system. The framework's answer is that ensemble relational competence is assessed at the individual level, but scored through observation of how that individual performs </w:t>
      </w:r>
      <w:r>
        <w:rPr>
          <w:rFonts w:ascii="Times New Roman" w:cs="Times New Roman" w:eastAsia="Times New Roman" w:hAnsi="Times New Roman"/>
          <w:b w:val="false"/>
          <w:bCs w:val="false"/>
          <w:i/>
          <w:iCs/>
          <w:sz w:val="24"/>
          <w:szCs w:val="24"/>
        </w:rPr>
        <w:t xml:space="preserve">within</w:t>
      </w:r>
      <w:r>
        <w:rPr>
          <w:rFonts w:ascii="Times New Roman" w:cs="Times New Roman" w:eastAsia="Times New Roman" w:hAnsi="Times New Roman"/>
          <w:b w:val="false"/>
          <w:bCs w:val="false"/>
          <w:i w:val="false"/>
          <w:iCs w:val="false"/>
          <w:sz w:val="24"/>
          <w:szCs w:val="24"/>
        </w:rPr>
        <w:t xml:space="preserve"> the ensemble context. Each student receives an individual score under the 30 per cent ensemble weighting, but that score reflects their contribution to collective musical negotiation, assessed using descriptive qualitative rubrics that evaluate ensemble responsiveness rather than isolated technical accuracy. This preserves individual accountability whilst capturing relational competence, consistent with Sadler's (2009) argument for descriptive, qualitative assessment criteria that resist decomposition into checklist compliance.</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A sample rubric descriptor for the "Synchronisation with </w:t>
      </w:r>
      <w:r>
        <w:rPr>
          <w:rFonts w:ascii="Times New Roman" w:cs="Times New Roman" w:eastAsia="Times New Roman" w:hAnsi="Times New Roman"/>
          <w:b w:val="false"/>
          <w:bCs w:val="false"/>
          <w:i/>
          <w:iCs/>
          <w:sz w:val="24"/>
          <w:szCs w:val="24"/>
        </w:rPr>
        <w:t xml:space="preserve">Ban</w:t>
      </w:r>
      <w:r>
        <w:rPr>
          <w:rFonts w:ascii="Times New Roman" w:cs="Times New Roman" w:eastAsia="Times New Roman" w:hAnsi="Times New Roman"/>
          <w:b w:val="false"/>
          <w:bCs w:val="false"/>
          <w:i w:val="false"/>
          <w:iCs w:val="false"/>
          <w:sz w:val="24"/>
          <w:szCs w:val="24"/>
        </w:rPr>
        <w:t xml:space="preserve"> rhythmic pulse" criterion illustrates this approach. At the Exceptional level (4), the student consistently anticipates and responds to </w:t>
      </w:r>
      <w:r>
        <w:rPr>
          <w:rFonts w:ascii="Times New Roman" w:cs="Times New Roman" w:eastAsia="Times New Roman" w:hAnsi="Times New Roman"/>
          <w:b w:val="false"/>
          <w:bCs w:val="false"/>
          <w:i/>
          <w:iCs/>
          <w:sz w:val="24"/>
          <w:szCs w:val="24"/>
        </w:rPr>
        <w:t xml:space="preserve">Ban</w:t>
      </w:r>
      <w:r>
        <w:rPr>
          <w:rFonts w:ascii="Times New Roman" w:cs="Times New Roman" w:eastAsia="Times New Roman" w:hAnsi="Times New Roman"/>
          <w:b w:val="false"/>
          <w:bCs w:val="false"/>
          <w:i w:val="false"/>
          <w:iCs w:val="false"/>
          <w:sz w:val="24"/>
          <w:szCs w:val="24"/>
        </w:rPr>
        <w:t xml:space="preserve"> pulse modulations, adjusting tempo and dynamics fluidly within the ensemble context. At the Proficient level (3), the student maintains synchronisation reliably with minor reactive adjustments under stable tempo conditions. At the Developing level (2), the student synchronises in stable passages but loses alignment under tempo modulation. At the Beginning level (1), the student demonstrates inconsistent awareness of the </w:t>
      </w:r>
      <w:r>
        <w:rPr>
          <w:rFonts w:ascii="Times New Roman" w:cs="Times New Roman" w:eastAsia="Times New Roman" w:hAnsi="Times New Roman"/>
          <w:b w:val="false"/>
          <w:bCs w:val="false"/>
          <w:i/>
          <w:iCs/>
          <w:sz w:val="24"/>
          <w:szCs w:val="24"/>
        </w:rPr>
        <w:t xml:space="preserve">Ban</w:t>
      </w:r>
      <w:r>
        <w:rPr>
          <w:rFonts w:ascii="Times New Roman" w:cs="Times New Roman" w:eastAsia="Times New Roman" w:hAnsi="Times New Roman"/>
          <w:b w:val="false"/>
          <w:bCs w:val="false"/>
          <w:i w:val="false"/>
          <w:iCs w:val="false"/>
          <w:sz w:val="24"/>
          <w:szCs w:val="24"/>
        </w:rPr>
        <w:t xml:space="preserve"> pulse and synchronisation is reactive rather than anticipatory. Post-validation focus group feedback (VTCH-03) indicated that a five-level rubric may be operationally demanding for live grading of large cohorts; a three-tiered condensation was recommended as an implementation adaptation for under-resourced contexts. The split-weighting model has not yet been tested in extended implementation; the relative weightings may require adjustment in response to specific institutional resource profiles.</w:t>
      </w:r>
    </w:p>
    <w:p>
      <w:pPr>
        <w:spacing w:line="240" w:before="240" w:after="120"/>
        <w:jc w:val="left"/>
      </w:pPr>
      <w:r>
        <w:rPr>
          <w:rFonts w:ascii="Times New Roman" w:cs="Times New Roman" w:eastAsia="Times New Roman" w:hAnsi="Times New Roman"/>
          <w:b/>
          <w:bCs/>
          <w:sz w:val="28"/>
          <w:szCs w:val="28"/>
        </w:rPr>
        <w:t xml:space="preserve">5. VALIDATION FINDINGS</w:t>
      </w:r>
    </w:p>
    <w:p>
      <w:pPr>
        <w:spacing w:line="240" w:before="180" w:after="80"/>
        <w:jc w:val="left"/>
      </w:pPr>
      <w:r>
        <w:rPr>
          <w:rFonts w:ascii="Times New Roman" w:cs="Times New Roman" w:eastAsia="Times New Roman" w:hAnsi="Times New Roman"/>
          <w:b/>
          <w:bCs/>
          <w:sz w:val="24"/>
          <w:szCs w:val="24"/>
        </w:rPr>
        <w:t xml:space="preserve">5.1 Expert Content Validity</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Expert panel evaluation returned an overall S-CVI/Ave of 0.94, exceeding the recommended threshold of 0.90 for excellent content validity (Lynn, 1986; Polit and Beck, 2006). These findings provide initial theoretical credibility and indicate a high level of expert consensus regarding the overall relevance, coherence, and conceptual soundness of the CMCF. They should not, however, be interpreted as confirmatory validation: content validity measures assess perceived relevance rather than empirical effectiveness, and consensus among a small specialised panel may partly reflect epistemic alignment within a cohesive community of practice rather than independent confirmation. Tab. 6 presents the dimension-specific CVI results.</w:t>
      </w:r>
    </w:p>
    <w:p>
      <w:pPr>
        <w:spacing w:line="240" w:before="180" w:after="60"/>
        <w:jc w:val="left"/>
      </w:pPr>
      <w:r>
        <w:rPr>
          <w:rFonts w:ascii="Times New Roman" w:cs="Times New Roman" w:eastAsia="Times New Roman" w:hAnsi="Times New Roman"/>
          <w:b/>
          <w:bCs/>
          <w:i/>
          <w:iCs/>
          <w:sz w:val="20"/>
          <w:szCs w:val="20"/>
        </w:rPr>
        <w:t xml:space="preserve">Tab. 6: Expert Content Validity Index Results (n = 5)</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760"/>
        <w:gridCol w:w="800"/>
        <w:gridCol w:w="1440"/>
        <w:gridCol w:w="1300"/>
        <w:gridCol w:w="1060"/>
        <w:gridCol w:w="2000"/>
      </w:tblGrid>
      <w:tr>
        <w:tc>
          <w:tcPr>
            <w:tcW w:type="dxa" w:w="276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Framework Dimension</w:t>
            </w:r>
          </w:p>
        </w:tc>
        <w:tc>
          <w:tcPr>
            <w:tcW w:type="dxa" w:w="8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Items</w:t>
            </w:r>
          </w:p>
        </w:tc>
        <w:tc>
          <w:tcPr>
            <w:tcW w:type="dxa" w:w="144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I-CVI Range</w:t>
            </w:r>
          </w:p>
        </w:tc>
        <w:tc>
          <w:tcPr>
            <w:tcW w:type="dxa" w:w="13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S-CVI/Ave</w:t>
            </w:r>
          </w:p>
        </w:tc>
        <w:tc>
          <w:tcPr>
            <w:tcW w:type="dxa" w:w="106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Mod. Kappa</w:t>
            </w:r>
          </w:p>
        </w:tc>
        <w:tc>
          <w:tcPr>
            <w:tcW w:type="dxa" w:w="20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Interpretation</w:t>
            </w:r>
          </w:p>
        </w:tc>
      </w:tr>
      <w:tr>
        <w:tc>
          <w:tcPr>
            <w:tcW w:type="dxa" w:w="27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 Objectives (Clarity and Alignment)</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w:t>
            </w:r>
          </w:p>
        </w:tc>
        <w:tc>
          <w:tcPr>
            <w:tcW w:type="dxa" w:w="144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0.80 to 1.00</w:t>
            </w:r>
          </w:p>
        </w:tc>
        <w:tc>
          <w:tcPr>
            <w:tcW w:type="dxa" w:w="1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0.96</w:t>
            </w:r>
          </w:p>
        </w:tc>
        <w:tc>
          <w:tcPr>
            <w:tcW w:type="dxa" w:w="10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0.95</w:t>
            </w:r>
          </w:p>
        </w:tc>
        <w:tc>
          <w:tcPr>
            <w:tcW w:type="dxa" w:w="20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High Validity</w:t>
            </w:r>
          </w:p>
        </w:tc>
      </w:tr>
      <w:tr>
        <w:tc>
          <w:tcPr>
            <w:tcW w:type="dxa" w:w="27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2. Content (Cultural Authenticity)</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6</w:t>
            </w:r>
          </w:p>
        </w:tc>
        <w:tc>
          <w:tcPr>
            <w:tcW w:type="dxa" w:w="144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1.00</w:t>
            </w:r>
          </w:p>
        </w:tc>
        <w:tc>
          <w:tcPr>
            <w:tcW w:type="dxa" w:w="1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1.00</w:t>
            </w:r>
          </w:p>
        </w:tc>
        <w:tc>
          <w:tcPr>
            <w:tcW w:type="dxa" w:w="10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1.00</w:t>
            </w:r>
          </w:p>
        </w:tc>
        <w:tc>
          <w:tcPr>
            <w:tcW w:type="dxa" w:w="20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Excellent</w:t>
            </w:r>
          </w:p>
        </w:tc>
      </w:tr>
      <w:tr>
        <w:tc>
          <w:tcPr>
            <w:tcW w:type="dxa" w:w="27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 Pedagogical Strategies</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w:t>
            </w:r>
          </w:p>
        </w:tc>
        <w:tc>
          <w:tcPr>
            <w:tcW w:type="dxa" w:w="144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0.80 to 1.00</w:t>
            </w:r>
          </w:p>
        </w:tc>
        <w:tc>
          <w:tcPr>
            <w:tcW w:type="dxa" w:w="1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0.92</w:t>
            </w:r>
          </w:p>
        </w:tc>
        <w:tc>
          <w:tcPr>
            <w:tcW w:type="dxa" w:w="10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0.91</w:t>
            </w:r>
          </w:p>
        </w:tc>
        <w:tc>
          <w:tcPr>
            <w:tcW w:type="dxa" w:w="20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High Validity</w:t>
            </w:r>
          </w:p>
        </w:tc>
      </w:tr>
      <w:tr>
        <w:tc>
          <w:tcPr>
            <w:tcW w:type="dxa" w:w="27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4. Assessment System</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4</w:t>
            </w:r>
          </w:p>
        </w:tc>
        <w:tc>
          <w:tcPr>
            <w:tcW w:type="dxa" w:w="144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0.80 to 1.00</w:t>
            </w:r>
          </w:p>
        </w:tc>
        <w:tc>
          <w:tcPr>
            <w:tcW w:type="dxa" w:w="1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0.95</w:t>
            </w:r>
          </w:p>
        </w:tc>
        <w:tc>
          <w:tcPr>
            <w:tcW w:type="dxa" w:w="10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0.94</w:t>
            </w:r>
          </w:p>
        </w:tc>
        <w:tc>
          <w:tcPr>
            <w:tcW w:type="dxa" w:w="20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High Validity</w:t>
            </w:r>
          </w:p>
        </w:tc>
      </w:tr>
      <w:tr>
        <w:tc>
          <w:tcPr>
            <w:tcW w:type="dxa" w:w="27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 Operational Feasibility</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4</w:t>
            </w:r>
          </w:p>
        </w:tc>
        <w:tc>
          <w:tcPr>
            <w:tcW w:type="dxa" w:w="144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0.60 to 1.00</w:t>
            </w:r>
          </w:p>
        </w:tc>
        <w:tc>
          <w:tcPr>
            <w:tcW w:type="dxa" w:w="1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0.85</w:t>
            </w:r>
          </w:p>
        </w:tc>
        <w:tc>
          <w:tcPr>
            <w:tcW w:type="dxa" w:w="10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0.81</w:t>
            </w:r>
          </w:p>
        </w:tc>
        <w:tc>
          <w:tcPr>
            <w:tcW w:type="dxa" w:w="20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Acceptable: see below</w:t>
            </w:r>
          </w:p>
        </w:tc>
      </w:tr>
      <w:tr>
        <w:tc>
          <w:tcPr>
            <w:tcW w:type="dxa" w:w="27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OVERALL FRAMEWORK</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24</w:t>
            </w:r>
          </w:p>
        </w:tc>
        <w:tc>
          <w:tcPr>
            <w:tcW w:type="dxa" w:w="144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0.60 to 1.00</w:t>
            </w:r>
          </w:p>
        </w:tc>
        <w:tc>
          <w:tcPr>
            <w:tcW w:type="dxa" w:w="1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0.94</w:t>
            </w:r>
          </w:p>
        </w:tc>
        <w:tc>
          <w:tcPr>
            <w:tcW w:type="dxa" w:w="10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0.92</w:t>
            </w:r>
          </w:p>
        </w:tc>
        <w:tc>
          <w:tcPr>
            <w:tcW w:type="dxa" w:w="20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Provisionally Supported</w:t>
            </w:r>
          </w:p>
        </w:tc>
      </w:tr>
    </w:tbl>
    <w:p>
      <w:pPr>
        <w:spacing w:line="240" w:before="40" w:after="120"/>
        <w:jc w:val="left"/>
      </w:pPr>
      <w:r>
        <w:rPr>
          <w:rFonts w:ascii="Times New Roman" w:cs="Times New Roman" w:eastAsia="Times New Roman" w:hAnsi="Times New Roman"/>
          <w:i/>
          <w:iCs/>
          <w:sz w:val="20"/>
          <w:szCs w:val="20"/>
        </w:rPr>
        <w:t xml:space="preserve">Source: Based on CVI protocol; threshold criteria from Lynn (1986) and Polit and Beck (2006)</w:t>
      </w:r>
    </w:p>
    <w:p>
      <w:pPr>
        <w:spacing w:line="240" w:before="40" w:after="100"/>
        <w:jc w:val="both"/>
      </w:pPr>
      <w:r>
        <w:rPr>
          <w:rFonts w:ascii="Times New Roman" w:cs="Times New Roman" w:eastAsia="Times New Roman" w:hAnsi="Times New Roman"/>
          <w:i/>
          <w:iCs/>
          <w:sz w:val="20"/>
          <w:szCs w:val="20"/>
        </w:rPr>
        <w:t xml:space="preserve">Note: Modified kappa was computed as a more conservative alternative to raw I-CVI. "Provisionally Supported" is used in preference to "VALIDATED" to reflect the preliminary status of content validity evidence in the absence of implementation effectiveness data.</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Content Authenticity dimension achieved a perfect S-CVI/Ave of 1.00, reflecting unanimous expert agreement that the CMCF's structural design preserves the Chaozhou tradition's internal musical grammar. The Operational Feasibility dimension returned the lowest score (S-CVI/Ave = 0.85; I-CVI range 0.60 to 1.00). Items receiving I-CVI scores of 0.60 concerned the station rotation model's staffing requirements and the digital infrastructure required for the flipped classroom component. Qualitative comments highlighted staff workload, supervision requirements, and coordination of simultaneous learning activities within limited instructional time. These concerns echo the institutional constraints identified in Phase 1 FGDs, in which TCH-04 noted a four-to-one student-to-instrument ratio: "I have forty students and ten zhengs. The majority just sit and watch. It becomes a lecture again." This convergence reinforces the internal consistency of the validation findings.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Following validation, the station rotation model was reformulated as a recommended rather than mandatory strategy, and digital scaffolding requirements were specified as adaptable to lower-resource contexts. These revisions were not re-evaluated by the expert panel; the residual feasibility concerns may persist in under-resourced regional university settings. Future validation should address this through iterative resubmission to an expanded panel.</w:t>
      </w:r>
    </w:p>
    <w:p>
      <w:pPr>
        <w:spacing w:line="240" w:before="180" w:after="80"/>
        <w:jc w:val="left"/>
      </w:pPr>
      <w:r>
        <w:rPr>
          <w:rFonts w:ascii="Times New Roman" w:cs="Times New Roman" w:eastAsia="Times New Roman" w:hAnsi="Times New Roman"/>
          <w:b/>
          <w:bCs/>
          <w:sz w:val="24"/>
          <w:szCs w:val="24"/>
        </w:rPr>
        <w:t xml:space="preserve">5.2 Stakeholder Feasibility</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student feasibility survey (Cronbach's alpha = 0.89; all 29 corrected item-total correlations falling between 0.509 and 0.716, well above the 0.30 minimum threshold) provided generally positive but moderate evaluations. Tab. 7 presents the construct-level descriptive statistics with confidence intervals.</w:t>
      </w:r>
    </w:p>
    <w:p>
      <w:pPr>
        <w:spacing w:line="240" w:before="180" w:after="60"/>
        <w:jc w:val="left"/>
      </w:pPr>
      <w:r>
        <w:rPr>
          <w:rFonts w:ascii="Times New Roman" w:cs="Times New Roman" w:eastAsia="Times New Roman" w:hAnsi="Times New Roman"/>
          <w:b/>
          <w:bCs/>
          <w:i/>
          <w:iCs/>
          <w:sz w:val="20"/>
          <w:szCs w:val="20"/>
        </w:rPr>
        <w:t xml:space="preserve">Tab. 7: Student Feasibility Survey: Construct-Level Descriptive Statistics (n =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300"/>
        <w:gridCol w:w="800"/>
        <w:gridCol w:w="800"/>
        <w:gridCol w:w="800"/>
        <w:gridCol w:w="1660"/>
        <w:gridCol w:w="800"/>
        <w:gridCol w:w="1200"/>
      </w:tblGrid>
      <w:tr>
        <w:tc>
          <w:tcPr>
            <w:tcW w:type="dxa" w:w="33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Construct</w:t>
            </w:r>
          </w:p>
        </w:tc>
        <w:tc>
          <w:tcPr>
            <w:tcW w:type="dxa" w:w="8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Items</w:t>
            </w:r>
          </w:p>
        </w:tc>
        <w:tc>
          <w:tcPr>
            <w:tcW w:type="dxa" w:w="8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M</w:t>
            </w:r>
          </w:p>
        </w:tc>
        <w:tc>
          <w:tcPr>
            <w:tcW w:type="dxa" w:w="8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SD</w:t>
            </w:r>
          </w:p>
        </w:tc>
        <w:tc>
          <w:tcPr>
            <w:tcW w:type="dxa" w:w="166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95% CI</w:t>
            </w:r>
          </w:p>
        </w:tc>
        <w:tc>
          <w:tcPr>
            <w:tcW w:type="dxa" w:w="8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Rank</w:t>
            </w:r>
          </w:p>
        </w:tc>
        <w:tc>
          <w:tcPr>
            <w:tcW w:type="dxa" w:w="1200"/>
            <w:tcBorders>
              <w:top w:val="single" w:color="000000" w:sz="4"/>
              <w:left w:val="single" w:color="000000" w:sz="4"/>
              <w:bottom w:val="single" w:color="000000" w:sz="4"/>
              <w:right w:val="single" w:color="000000" w:sz="4"/>
            </w:tcBorders>
            <w:shd w:fill="DDDDDD"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bCs/>
                <w:i w:val="false"/>
                <w:iCs w:val="false"/>
                <w:sz w:val="18"/>
                <w:szCs w:val="18"/>
              </w:rPr>
              <w:t xml:space="preserve">Interpretation</w:t>
            </w:r>
          </w:p>
        </w:tc>
      </w:tr>
      <w:tr>
        <w:tc>
          <w:tcPr>
            <w:tcW w:type="dxa" w:w="3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 Clarity of Learning Objectives</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4</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3.71</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1.43</w:t>
            </w:r>
          </w:p>
        </w:tc>
        <w:tc>
          <w:tcPr>
            <w:tcW w:type="dxa" w:w="16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[3.43, 3.99]</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w:t>
            </w:r>
          </w:p>
        </w:tc>
        <w:tc>
          <w:tcPr>
            <w:tcW w:type="dxa" w:w="12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Moderate</w:t>
            </w:r>
          </w:p>
        </w:tc>
      </w:tr>
      <w:tr>
        <w:tc>
          <w:tcPr>
            <w:tcW w:type="dxa" w:w="3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2. Content Relevance and Cultural Authenticity</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3.58</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1.34</w:t>
            </w:r>
          </w:p>
        </w:tc>
        <w:tc>
          <w:tcPr>
            <w:tcW w:type="dxa" w:w="16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[3.31, 3.85]</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4</w:t>
            </w:r>
          </w:p>
        </w:tc>
        <w:tc>
          <w:tcPr>
            <w:tcW w:type="dxa" w:w="12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Moderate</w:t>
            </w:r>
          </w:p>
        </w:tc>
      </w:tr>
      <w:tr>
        <w:tc>
          <w:tcPr>
            <w:tcW w:type="dxa" w:w="3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 Experiential Learning Quality</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3.38</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1.33</w:t>
            </w:r>
          </w:p>
        </w:tc>
        <w:tc>
          <w:tcPr>
            <w:tcW w:type="dxa" w:w="16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[3.12, 3.65]</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6</w:t>
            </w:r>
          </w:p>
        </w:tc>
        <w:tc>
          <w:tcPr>
            <w:tcW w:type="dxa" w:w="12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Moderate-Low</w:t>
            </w:r>
          </w:p>
        </w:tc>
      </w:tr>
      <w:tr>
        <w:tc>
          <w:tcPr>
            <w:tcW w:type="dxa" w:w="3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4. Constructive Alignment</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3.59</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1.35</w:t>
            </w:r>
          </w:p>
        </w:tc>
        <w:tc>
          <w:tcPr>
            <w:tcW w:type="dxa" w:w="16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[3.32, 3.86]</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w:t>
            </w:r>
          </w:p>
        </w:tc>
        <w:tc>
          <w:tcPr>
            <w:tcW w:type="dxa" w:w="12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Moderate</w:t>
            </w:r>
          </w:p>
        </w:tc>
      </w:tr>
      <w:tr>
        <w:tc>
          <w:tcPr>
            <w:tcW w:type="dxa" w:w="3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 Feasibility of Implementation</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3.39</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1.25</w:t>
            </w:r>
          </w:p>
        </w:tc>
        <w:tc>
          <w:tcPr>
            <w:tcW w:type="dxa" w:w="16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[3.14, 3.64]</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w:t>
            </w:r>
          </w:p>
        </w:tc>
        <w:tc>
          <w:tcPr>
            <w:tcW w:type="dxa" w:w="12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Moderate-Low</w:t>
            </w:r>
          </w:p>
        </w:tc>
      </w:tr>
      <w:tr>
        <w:tc>
          <w:tcPr>
            <w:tcW w:type="dxa" w:w="33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6. Overall Perception and Satisfaction</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5</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3.68</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1.39</w:t>
            </w:r>
          </w:p>
        </w:tc>
        <w:tc>
          <w:tcPr>
            <w:tcW w:type="dxa" w:w="166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[3.40, 3.96]</w:t>
            </w:r>
          </w:p>
        </w:tc>
        <w:tc>
          <w:tcPr>
            <w:tcW w:type="dxa" w:w="8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2</w:t>
            </w:r>
          </w:p>
        </w:tc>
        <w:tc>
          <w:tcPr>
            <w:tcW w:type="dxa" w:w="1200"/>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vAlign w:val="top"/>
          </w:tcPr>
          <w:p>
            <w:pPr>
              <w:spacing w:line="220" w:before="0" w:after="0"/>
              <w:jc w:val="left"/>
            </w:pPr>
            <w:r>
              <w:rPr>
                <w:rFonts w:ascii="Times New Roman" w:cs="Times New Roman" w:eastAsia="Times New Roman" w:hAnsi="Times New Roman"/>
                <w:b w:val="false"/>
                <w:bCs w:val="false"/>
                <w:i w:val="false"/>
                <w:iCs w:val="false"/>
                <w:sz w:val="18"/>
                <w:szCs w:val="18"/>
              </w:rPr>
              <w:t xml:space="preserve">Moderate</w:t>
            </w:r>
          </w:p>
        </w:tc>
      </w:tr>
    </w:tbl>
    <w:p>
      <w:pPr>
        <w:spacing w:line="240" w:before="40" w:after="120"/>
        <w:jc w:val="left"/>
      </w:pPr>
      <w:r>
        <w:rPr>
          <w:rFonts w:ascii="Times New Roman" w:cs="Times New Roman" w:eastAsia="Times New Roman" w:hAnsi="Times New Roman"/>
          <w:i/>
          <w:iCs/>
          <w:sz w:val="20"/>
          <w:szCs w:val="20"/>
        </w:rPr>
        <w:t xml:space="preserve">Source: Composite means from item-level responses; scale range 1 to 5</w:t>
      </w:r>
    </w:p>
    <w:p>
      <w:pPr>
        <w:spacing w:line="240" w:before="40" w:after="100"/>
        <w:jc w:val="both"/>
      </w:pPr>
      <w:r>
        <w:rPr>
          <w:rFonts w:ascii="Times New Roman" w:cs="Times New Roman" w:eastAsia="Times New Roman" w:hAnsi="Times New Roman"/>
          <w:i/>
          <w:iCs/>
          <w:sz w:val="20"/>
          <w:szCs w:val="20"/>
        </w:rPr>
        <w:t xml:space="preserve">Note: All means are interpreted as indicating moderate endorsement (3.0 to 3.79 range) rather than strong or very strong acceptance. High standard deviations indicate substantial heterogeneity within each construct.</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These findings require critical rather than celebratory interpretation. Overall construct means of 3.38 to 3.71 indicate moderate endorsement, not strong acceptance. The high standard deviations across all constructs (SD = 1.25 to 1.43) indicate substantial within-construct heterogeneity: the framework is not perceived uniformly positively by all respondents. A one-way ANOVA revealed statistically significant differences across constructs (F(5, 594) = 2.87, p = .015). Tukey HSD post-hoc analysis indicated that Clarity of Learning Objectives (M = 3.71) scored significantly higher than Experiential Learning Quality (M = 3.38, p = .031) and Feasibility of Implementation (M = 3.39, p = .043). The practical significance of this pattern is considerable: students found the framework clearer in its objectives than they found it easy to implement or experience through quality experiential learning. The two weakest dimensions are precisely those most dependent on resource availability and institutional support, both identified as constraints in Phase 1.</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Subgroup analysis revealed important differential patterns with direct design implications. Students with prior informal Chaozhou exposure (41 per cent of the sample) rated Experiential Learning Quality significantly higher than those without (M = 3.62 versus M = 3.21, t(98) = 2.14, p = .035), suggesting that the Stage 1 Somatic Immersion architecture presents a steeper entry challenge for students without embodied prior exposure to the tradition. This finding validates the teacher FGD observation about the "cultural outsider paradox" (TCH-03: "They speak the dialect but do not know the difference between xianshi and gong and drum. They are cultural outsiders.") and has direct implications for Stage 1 scaffolding design. Third-year students rated Feasibility of Implementation higher than second-year students (M = 3.58 versus M = 3.24, t(98) = 1.98, p = .050), possibly reflecting greater familiarity with university assessment conventions. Importantly, feasibility ratings reflect student perceptions in a survey context and do not necessarily predict teacher enactment quality, student learning gains, or assessment reliability in real classroom settings.</w:t>
      </w:r>
    </w:p>
    <w:p>
      <w:pPr>
        <w:spacing w:line="240" w:before="180" w:after="80"/>
        <w:jc w:val="left"/>
      </w:pPr>
      <w:r>
        <w:rPr>
          <w:rFonts w:ascii="Times New Roman" w:cs="Times New Roman" w:eastAsia="Times New Roman" w:hAnsi="Times New Roman"/>
          <w:b/>
          <w:bCs/>
          <w:sz w:val="24"/>
          <w:szCs w:val="24"/>
        </w:rPr>
        <w:t xml:space="preserve">5.3 Validation as Structural Negotiation</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A qualitatively significant finding from the post-validation focus group discussion concerns expert disagreement regarding stylistic authenticity boundaries in Stage 3. This was not a peripheral procedural dispute: it directly concerns the epistemological core of the CMCF's authenticity claims. Two panellists drew the boundary at variations preserving the </w:t>
      </w:r>
      <w:r>
        <w:rPr>
          <w:rFonts w:ascii="Times New Roman" w:cs="Times New Roman" w:eastAsia="Times New Roman" w:hAnsi="Times New Roman"/>
          <w:b w:val="false"/>
          <w:bCs w:val="false"/>
          <w:i/>
          <w:iCs/>
          <w:sz w:val="24"/>
          <w:szCs w:val="24"/>
        </w:rPr>
        <w:t xml:space="preserve">Er Si Pu</w:t>
      </w:r>
      <w:r>
        <w:rPr>
          <w:rFonts w:ascii="Times New Roman" w:cs="Times New Roman" w:eastAsia="Times New Roman" w:hAnsi="Times New Roman"/>
          <w:b w:val="false"/>
          <w:bCs w:val="false"/>
          <w:i w:val="false"/>
          <w:iCs w:val="false"/>
          <w:sz w:val="24"/>
          <w:szCs w:val="24"/>
        </w:rPr>
        <w:t xml:space="preserve"> modal grammar exclusively; three accepted variations incorporating modal inflections from neighbouring Cantonese operatic traditions. This disagreement is analytically significant in two respects.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First, it is empirical evidence that the Stage 3 creative boundaries are insufficiently specified in the current framework documentation. The post-validation focus group discussion produced a concrete refinement recommendation: explicit specification within the implementation guidelines of which creative variations qualify as authentic stylistic elaboration, and by whom such boundaries should be adjudicated.</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Second, and more theoretically significant, this disagreement is not simply noise to be managed. It is evidence that cultural authenticity in institutional settings is a negotiated condition, not a fixed attribute (Schippers and Grant, 2016). In living oral traditions, different community stakeholders bring different community-grounded authorities to authenticity determination. The disagreement demonstrates that the CMCF's reconceptualisation of authenticity as negotiated structural integrity is not merely a theoretical abstraction: it will generate real boundary disputes in implementation. This is, in fact, confirmatory of the theoretical proposition rather than problematic; the question of which aspects of a living tradition's present diversity are recognised as legitimate within an institutional framework cannot be resolved by documentation alone. It requires ongoing negotiation among community practitioners, academic staff, and students.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post-validation discussion also produced three practical refinements that were incorporated into the framework: a digital teaching assistant protocol using pre-recorded WeChat micro-demonstrations to enable station rotation with reduced staff workload; an extension of the dual-notation transition period from Week 5 to Week 8 to allow greater auditory internalisation before </w:t>
      </w:r>
      <w:r>
        <w:rPr>
          <w:rFonts w:ascii="Times New Roman" w:cs="Times New Roman" w:eastAsia="Times New Roman" w:hAnsi="Times New Roman"/>
          <w:b w:val="false"/>
          <w:bCs w:val="false"/>
          <w:i/>
          <w:iCs/>
          <w:sz w:val="24"/>
          <w:szCs w:val="24"/>
        </w:rPr>
        <w:t xml:space="preserve">Er Si Pu</w:t>
      </w:r>
      <w:r>
        <w:rPr>
          <w:rFonts w:ascii="Times New Roman" w:cs="Times New Roman" w:eastAsia="Times New Roman" w:hAnsi="Times New Roman"/>
          <w:b w:val="false"/>
          <w:bCs w:val="false"/>
          <w:i w:val="false"/>
          <w:iCs w:val="false"/>
          <w:sz w:val="24"/>
          <w:szCs w:val="24"/>
        </w:rPr>
        <w:t xml:space="preserve"> notation becomes primary; and a simplified three-tier assessment rubric option for large cohort contexts. These refinements respond to implementation friction identified across expert validation, student feasibility, and teacher feedback, illustrating the iterative negotiation that characterises effective curriculum design for living traditions.</w:t>
      </w:r>
    </w:p>
    <w:p>
      <w:pPr>
        <w:spacing w:line="240" w:before="240" w:after="120"/>
        <w:jc w:val="left"/>
      </w:pPr>
      <w:r>
        <w:rPr>
          <w:rFonts w:ascii="Times New Roman" w:cs="Times New Roman" w:eastAsia="Times New Roman" w:hAnsi="Times New Roman"/>
          <w:b/>
          <w:bCs/>
          <w:sz w:val="28"/>
          <w:szCs w:val="28"/>
        </w:rPr>
        <w:t xml:space="preserve">6. DISCUSSION AND THEORETICAL IMPLICATIONS</w:t>
      </w:r>
    </w:p>
    <w:p>
      <w:pPr>
        <w:spacing w:line="240" w:before="180" w:after="80"/>
        <w:jc w:val="left"/>
      </w:pPr>
      <w:r>
        <w:rPr>
          <w:rFonts w:ascii="Times New Roman" w:cs="Times New Roman" w:eastAsia="Times New Roman" w:hAnsi="Times New Roman"/>
          <w:b/>
          <w:bCs/>
          <w:sz w:val="24"/>
          <w:szCs w:val="24"/>
        </w:rPr>
        <w:t xml:space="preserve">6.1 CA Can Incorporate Relational Dimensions through Structural Extension</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CMCF provides preliminary evidence that CA's operational architecture can be extended to function more coherently in ensemble-based oral traditions through a structural reconfiguration making inter-subjective relational competence visible at every level of curriculum design. This finding builds on and extends prior adaptations: Thorsteinsson (2013) modified ILO formulation for embodied knowledge within the existing triangular structure; Lebler (2007) introduced assessment flexibility for tacit competence. The RCA contribution is structurally distinct from both: it adds a fourth dimension to the alignment architecture itself, making ensemble relational competence a constitutive structural feature rather than a modification of existing elements. RCA is therefore complementary to rather than competitive with these prior adaptations.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This indicates preliminary support for one implication for institutions seeking compliance with the Ministry of Education's (2017) national teaching quality standards, which explicitly require both individual performance proficiency and ensemble competence to be assessed. The CMCF's split-weighting strategy provides a concrete mechanism for meeting this requirement in the specific context of Chaozhou music. The broader claim that RCA is applicable to other ensemble or oral traditions should be treated as a hypothesis for future research, not a demonstrated finding.</w:t>
      </w:r>
    </w:p>
    <w:p>
      <w:pPr>
        <w:spacing w:line="240" w:before="180" w:after="80"/>
        <w:jc w:val="left"/>
      </w:pPr>
      <w:r>
        <w:rPr>
          <w:rFonts w:ascii="Times New Roman" w:cs="Times New Roman" w:eastAsia="Times New Roman" w:hAnsi="Times New Roman"/>
          <w:b/>
          <w:bCs/>
          <w:sz w:val="24"/>
          <w:szCs w:val="24"/>
        </w:rPr>
        <w:t xml:space="preserve">6.2 Curriculum Architecture Can Structurally Support Tacit Knowledge</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three-stage developmental architecture suggests that tacit musical knowledge can receive institutional support through curriculum sequencing without requiring its full reduction to propositional form. By sequencing somatic immersion prior to analytical articulation, and by positioning </w:t>
      </w:r>
      <w:r>
        <w:rPr>
          <w:rFonts w:ascii="Times New Roman" w:cs="Times New Roman" w:eastAsia="Times New Roman" w:hAnsi="Times New Roman"/>
          <w:b w:val="false"/>
          <w:bCs w:val="false"/>
          <w:i/>
          <w:iCs/>
          <w:sz w:val="24"/>
          <w:szCs w:val="24"/>
        </w:rPr>
        <w:t xml:space="preserve">jiahua</w:t>
      </w:r>
      <w:r>
        <w:rPr>
          <w:rFonts w:ascii="Times New Roman" w:cs="Times New Roman" w:eastAsia="Times New Roman" w:hAnsi="Times New Roman"/>
          <w:b w:val="false"/>
          <w:bCs w:val="false"/>
          <w:i w:val="false"/>
          <w:iCs w:val="false"/>
          <w:sz w:val="24"/>
          <w:szCs w:val="24"/>
        </w:rPr>
        <w:t xml:space="preserve">-based creative inheritance as the culminating stage, the CMCF approximates the epistemological logic of apprenticeship transmission within a structured institutional scaffold. The critical transferable insight, relevant beyond music education, is that tacit knowledge in practice-based disciplines may be institutionally supported through structural sequencing and mode prioritisation rather than being marginalised by outcome specification requirements.</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However, the framework must also acknowledge that codification transforms the tradition it seeks to protect. Kivy (1995) frames authenticity in terms of historical fidelity, while Taruskin (1995) critiques the romanticisation of originalism; ethnomusicological perspectives emphasise authenticity as socially constructed and negotiated (Schippers and Grant, 2016). The CMCF does not claim to preserve Chaozhou music in an unchanged form; it aims to preserve its internal musical grammar within the institutional structure, accepting that institutional mediation involves structural reinterpretation. As the post-validation disagreement over Stage 3 boundaries demonstrated, this transformation is ongoing, real, and cannot be resolved by design alone.</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framework also does not claim to replicate extended apprenticeship immersion. A 16-week semester cannot substitute for the years of immersive cultural participation through which Chaozhou musicians traditionally developed mastery. The subgroup analysis in Section 5.2 confirmed that students without prior embodied exposure face a steeper Stage 1 entry challenge; 67 per cent of the Phase 1 student sample reported no formal prior exposure. Future iterations should investigate pre-semester bridging activities or extended dual-notation scaffolding for this majority subgroup.</w:t>
      </w:r>
    </w:p>
    <w:p>
      <w:pPr>
        <w:spacing w:line="240" w:before="180" w:after="80"/>
        <w:jc w:val="left"/>
      </w:pPr>
      <w:r>
        <w:rPr>
          <w:rFonts w:ascii="Times New Roman" w:cs="Times New Roman" w:eastAsia="Times New Roman" w:hAnsi="Times New Roman"/>
          <w:b/>
          <w:bCs/>
          <w:sz w:val="24"/>
          <w:szCs w:val="24"/>
        </w:rPr>
        <w:t xml:space="preserve">6.3 Limitations</w:t>
      </w:r>
    </w:p>
    <w:p>
      <w:pPr>
        <w:spacing w:line="240" w:before="0" w:after="60"/>
        <w:jc w:val="both"/>
      </w:pPr>
      <w:r>
        <w:rPr>
          <w:rFonts w:ascii="Times New Roman" w:cs="Times New Roman" w:eastAsia="Times New Roman" w:hAnsi="Times New Roman"/>
          <w:b w:val="false"/>
          <w:bCs w:val="false"/>
          <w:i w:val="false"/>
          <w:iCs w:val="false"/>
          <w:sz w:val="24"/>
          <w:szCs w:val="24"/>
        </w:rPr>
        <w:t xml:space="preserve">Six limitations require explicit acknowledgement.</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First, the study was conducted at a single institution. Single-site selection was methodologically appropriate for framework development given the cultural specificity of Chaozhou music, but findings cannot be generalised to universities without comparable cultural proximity or resource profiles. Second, the CVI expert panel comprised five members, meeting only the minimum threshold recommended by Lynn (1986). Future validation should seek an expanded panel of eight to ten experts including international ethnomusicologists with expertise in comparable oral traditions. Third, the validation exercise establishes content validity and stakeholder feasibility, not instructional effectiveness. No learning outcomes data were collected following CMCF implementation; longitudinal evidence from pre-post assessment design is needed before effectiveness claims can be made. Fourth, the Phase 2 framework construction was conducted primarily by the first author, an insider to the research context; the iterative consultation process partially mitigated but cannot fully eliminate insider positionality bias. Fifth, student feasibility perceptions from survey data do not necessarily predict teacher enactment quality, student learning gains, or assessment reliability in real classroom settings; they reflect perceptions under survey conditions only. Sixth, the split-weighting rationale is evidence-informed but has not been tested in implementation; the relative weightings may require adjustment in contexts with different resource profiles or student cohort characteristics.</w:t>
      </w:r>
    </w:p>
    <w:p>
      <w:pPr>
        <w:spacing w:line="240" w:before="180" w:after="80"/>
        <w:jc w:val="left"/>
      </w:pPr>
      <w:r>
        <w:rPr>
          <w:rFonts w:ascii="Times New Roman" w:cs="Times New Roman" w:eastAsia="Times New Roman" w:hAnsi="Times New Roman"/>
          <w:b/>
          <w:bCs/>
          <w:sz w:val="24"/>
          <w:szCs w:val="24"/>
        </w:rPr>
        <w:t xml:space="preserve">6.4 Directions for Future Research</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Four research directions follow directly from the limitations identified above. First, multi-site replication studies at universities with varying cultural proximity to the Chaozhou tradition are needed to test transferability before generalisability can be claimed. Second, longitudinal implementation studies with pre-post assessment design are needed to test whether the CMCF produces superior student outcomes relative to conventional approaches, and whether the split-weighting model maintains assessment reliability and consistency across instructors in practice. Third, the Stage 1 scaffolding challenge for culturally inexperienced learners warrants direct investigation: a quasi-experimental design comparing CMCF Stage 1 with and without dual-notation bridging scaffolding would address whether scaffolding affects somatic immersion quality, which is the epistemological foundation of the framework's design rationale. Fourth, the applicability of RCA principles to other ensemble-based oral traditions, including Indigenous music education, jazz pedagogy in conservatoire settings, and traditional Irish music programmes, requires contextual investigation; the epistemological parallels are significant (Carey and Grant, 2015), but direct transfer cannot be assumed given differences in relational competency profiles and cultural authenticity frameworks.</w:t>
      </w:r>
    </w:p>
    <w:p>
      <w:pPr>
        <w:spacing w:line="240" w:before="240" w:after="120"/>
        <w:jc w:val="left"/>
      </w:pPr>
      <w:r>
        <w:rPr>
          <w:rFonts w:ascii="Times New Roman" w:cs="Times New Roman" w:eastAsia="Times New Roman" w:hAnsi="Times New Roman"/>
          <w:b/>
          <w:bCs/>
          <w:sz w:val="28"/>
          <w:szCs w:val="28"/>
        </w:rPr>
        <w:t xml:space="preserve">7. CONCLUSION</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This paper has argued that CA, whilst a powerful framework for curriculum coherence in higher education, requires structural adaptation when applied to performance-based disciplines in which knowledge is embodied, relationally transmitted, and stylistically negotiated. Drawing on a design-based research study conducted within a Chinese undergraduate traditional music programme, the paper has proposed Relational Constructive Alignment as a four-dimensional extension of conventional CA, incorporating ensemble relationality as a constitutive structural axis. Three interconnected contributions emerge from the study, each formulated with the epistemic caution appropriate to the scope of the evidence.</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First, the CMCF provides preliminary evidence that CA's operational architecture can be extended to function more coherently in ensemble-based oral traditions through structural reconfiguration. This offers initial support for music educators and curriculum designers in Chinese higher education institutions seeking alignment between practice-based pedagogy and national quality standards. Second, the three-stage developmental architecture suggests that tacit musical knowledge can receive institutional support through curriculum sequencing without requiring its reduction to propositional form; this structural principle may have relevance to other practice-based disciplines, subject to contextual testing. Third, the reconceptualisation of cultural authenticity as negotiated structural integrity, empirically grounded in the post-validation boundary disagreement reported in Section 5.3, offers a productive and honest alternative to binary framings in which institutional codification necessarily compromises cultural integrity.</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CMCF is proposed as a contextually developed, theoretically grounded, and provisionally validated framework, not a definitively established solution. Its claims are bounded by single-site development, a minimum-threshold expert panel, and the absence of implementation effectiveness data. The RCA framework offers an empirically grounded starting point for addressing structurally analogous challenges in other institutional contexts, subject to the modifications required by each tradition's specific epistemological character and the implementation testing that further validation requires.</w:t>
      </w:r>
    </w:p>
    <w:p>
      <w:pPr>
        <w:spacing w:line="240" w:before="160" w:after="60"/>
        <w:jc w:val="left"/>
      </w:pPr>
      <w:r>
        <w:rPr>
          <w:rFonts w:ascii="Times New Roman" w:cs="Times New Roman" w:eastAsia="Times New Roman" w:hAnsi="Times New Roman"/>
          <w:b/>
          <w:bCs/>
          <w:i w:val="false"/>
          <w:iCs w:val="false"/>
          <w:sz w:val="24"/>
          <w:szCs w:val="24"/>
        </w:rPr>
        <w:t xml:space="preserve">Acknowledgement</w:t>
      </w:r>
    </w:p>
    <w:p>
      <w:pPr>
        <w:spacing w:line="240" w:before="0" w:after="100"/>
        <w:jc w:val="both"/>
      </w:pPr>
      <w:r>
        <w:rPr>
          <w:rFonts w:ascii="Times New Roman" w:cs="Times New Roman" w:eastAsia="Times New Roman" w:hAnsi="Times New Roman"/>
          <w:b w:val="false"/>
          <w:bCs w:val="false"/>
          <w:i w:val="false"/>
          <w:iCs w:val="false"/>
          <w:sz w:val="24"/>
          <w:szCs w:val="24"/>
        </w:rPr>
        <w:t xml:space="preserve">The authors are grateful to the expert panellists, Hanshan Normal University teachers, and undergraduate students who generously contributed their time and expertise to this study. The first author acknowledges the supervisory guidance of Professor Dr. Mohd Hassan Bin Abdullah of Universiti Pendidikan Sultan Idris throughout the doctoral research from which this paper is derived.</w:t>
      </w:r>
    </w:p>
    <w:p>
      <w:pPr>
        <w:spacing w:line="240" w:before="160" w:after="100"/>
        <w:jc w:val="left"/>
      </w:pPr>
      <w:r>
        <w:rPr>
          <w:rFonts w:ascii="Times New Roman" w:cs="Times New Roman" w:eastAsia="Times New Roman" w:hAnsi="Times New Roman"/>
          <w:b/>
          <w:bCs/>
          <w:sz w:val="28"/>
          <w:szCs w:val="28"/>
        </w:rPr>
        <w:t xml:space="preserve">References</w:t>
      </w:r>
    </w:p>
    <w:p>
      <w:pPr>
        <w:spacing w:line="240" w:before="0" w:after="60"/>
        <w:ind w:left="360" w:hanging="360"/>
        <w:jc w:val="both"/>
      </w:pPr>
      <w:r>
        <w:rPr>
          <w:rFonts w:ascii="Times New Roman" w:cs="Times New Roman" w:eastAsia="Times New Roman" w:hAnsi="Times New Roman"/>
          <w:sz w:val="24"/>
          <w:szCs w:val="24"/>
        </w:rPr>
        <w:t xml:space="preserve">Bernstein, B. (2000). Pedagogy, symbolic control and identity: Theory, research, critique (rev. ed.). Rowman and Littlefield.</w:t>
      </w:r>
    </w:p>
    <w:p>
      <w:pPr>
        <w:spacing w:line="240" w:before="0" w:after="60"/>
        <w:ind w:left="360" w:hanging="360"/>
        <w:jc w:val="both"/>
      </w:pPr>
      <w:r>
        <w:rPr>
          <w:rFonts w:ascii="Times New Roman" w:cs="Times New Roman" w:eastAsia="Times New Roman" w:hAnsi="Times New Roman"/>
          <w:sz w:val="24"/>
          <w:szCs w:val="24"/>
        </w:rPr>
        <w:t xml:space="preserve">Biggs, J. (1996). Enhancing teaching through constructive alignment. Higher Education, 32(3), 347 to 364. https://doi.org/10.1007/BF00138871</w:t>
      </w:r>
    </w:p>
    <w:p>
      <w:pPr>
        <w:spacing w:line="240" w:before="0" w:after="60"/>
        <w:ind w:left="360" w:hanging="360"/>
        <w:jc w:val="both"/>
      </w:pPr>
      <w:r>
        <w:rPr>
          <w:rFonts w:ascii="Times New Roman" w:cs="Times New Roman" w:eastAsia="Times New Roman" w:hAnsi="Times New Roman"/>
          <w:sz w:val="24"/>
          <w:szCs w:val="24"/>
        </w:rPr>
        <w:t xml:space="preserve">Biggs, J., and Tang, C. (2011). Teaching for quality learning at university (4th ed.). Open University Press.</w:t>
      </w:r>
    </w:p>
    <w:p>
      <w:pPr>
        <w:spacing w:line="240" w:before="0" w:after="60"/>
        <w:ind w:left="360" w:hanging="360"/>
        <w:jc w:val="both"/>
      </w:pPr>
      <w:r>
        <w:rPr>
          <w:rFonts w:ascii="Times New Roman" w:cs="Times New Roman" w:eastAsia="Times New Roman" w:hAnsi="Times New Roman"/>
          <w:sz w:val="24"/>
          <w:szCs w:val="24"/>
        </w:rPr>
        <w:t xml:space="preserve">Boud, D., and Falchikov, N. (2007). Rethinking assessment in higher education: Learning for the longer term. Routledge.</w:t>
      </w:r>
    </w:p>
    <w:p>
      <w:pPr>
        <w:spacing w:line="240" w:before="0" w:after="60"/>
        <w:ind w:left="360" w:hanging="360"/>
        <w:jc w:val="both"/>
      </w:pPr>
      <w:r>
        <w:rPr>
          <w:rFonts w:ascii="Times New Roman" w:cs="Times New Roman" w:eastAsia="Times New Roman" w:hAnsi="Times New Roman"/>
          <w:sz w:val="24"/>
          <w:szCs w:val="24"/>
        </w:rPr>
        <w:t xml:space="preserve">Braun, V., and Clarke, V. (2006). Using thematic analysis in psychology. Qualitative Research in Psychology, 3(2), 77 to 101.</w:t>
      </w:r>
    </w:p>
    <w:p>
      <w:pPr>
        <w:spacing w:line="240" w:before="0" w:after="60"/>
        <w:ind w:left="360" w:hanging="360"/>
        <w:jc w:val="both"/>
      </w:pPr>
      <w:r>
        <w:rPr>
          <w:rFonts w:ascii="Times New Roman" w:cs="Times New Roman" w:eastAsia="Times New Roman" w:hAnsi="Times New Roman"/>
          <w:sz w:val="24"/>
          <w:szCs w:val="24"/>
        </w:rPr>
        <w:t xml:space="preserve">Campbell, P. S. (2004). Teaching music globally: Experiencing music, expressing culture. Oxford University Press.</w:t>
      </w:r>
    </w:p>
    <w:p>
      <w:pPr>
        <w:spacing w:line="240" w:before="0" w:after="60"/>
        <w:ind w:left="360" w:hanging="360"/>
        <w:jc w:val="both"/>
      </w:pPr>
      <w:r>
        <w:rPr>
          <w:rFonts w:ascii="Times New Roman" w:cs="Times New Roman" w:eastAsia="Times New Roman" w:hAnsi="Times New Roman"/>
          <w:sz w:val="24"/>
          <w:szCs w:val="24"/>
        </w:rPr>
        <w:t xml:space="preserve">Carey, G., and Grant, C. (2015). Teachers and students talk about learning: A framework for reflection and for assessment. Research Studies in Music Education, 37(2), 191 to 206.</w:t>
      </w:r>
    </w:p>
    <w:p>
      <w:pPr>
        <w:spacing w:line="240" w:before="0" w:after="60"/>
        <w:ind w:left="360" w:hanging="360"/>
        <w:jc w:val="both"/>
      </w:pPr>
      <w:r>
        <w:rPr>
          <w:rFonts w:ascii="Times New Roman" w:cs="Times New Roman" w:eastAsia="Times New Roman" w:hAnsi="Times New Roman"/>
          <w:sz w:val="24"/>
          <w:szCs w:val="24"/>
        </w:rPr>
        <w:t xml:space="preserve">Creswell, J. W., and Creswell, J. D. (2018). Research design: Qualitative, quantitative, and mixed methods approaches (5th ed.). SAGE.</w:t>
      </w:r>
    </w:p>
    <w:p>
      <w:pPr>
        <w:spacing w:line="240" w:before="0" w:after="60"/>
        <w:ind w:left="360" w:hanging="360"/>
        <w:jc w:val="both"/>
      </w:pPr>
      <w:r>
        <w:rPr>
          <w:rFonts w:ascii="Times New Roman" w:cs="Times New Roman" w:eastAsia="Times New Roman" w:hAnsi="Times New Roman"/>
          <w:sz w:val="24"/>
          <w:szCs w:val="24"/>
        </w:rPr>
        <w:t xml:space="preserve">DeVellis, R. F. (2017). Scale development: Theory and applications (4th ed.). SAGE.</w:t>
      </w:r>
    </w:p>
    <w:p>
      <w:pPr>
        <w:spacing w:line="240" w:before="0" w:after="60"/>
        <w:ind w:left="360" w:hanging="360"/>
        <w:jc w:val="both"/>
      </w:pPr>
      <w:r>
        <w:rPr>
          <w:rFonts w:ascii="Times New Roman" w:cs="Times New Roman" w:eastAsia="Times New Roman" w:hAnsi="Times New Roman"/>
          <w:sz w:val="24"/>
          <w:szCs w:val="24"/>
        </w:rPr>
        <w:t xml:space="preserve">Elliott, D. J., and Silverman, M. (2015). Music matters: A philosophy of music education (2nd ed.). Oxford University Press.</w:t>
      </w:r>
    </w:p>
    <w:p>
      <w:pPr>
        <w:spacing w:line="240" w:before="0" w:after="60"/>
        <w:ind w:left="360" w:hanging="360"/>
        <w:jc w:val="both"/>
      </w:pPr>
      <w:r>
        <w:rPr>
          <w:rFonts w:ascii="Times New Roman" w:cs="Times New Roman" w:eastAsia="Times New Roman" w:hAnsi="Times New Roman"/>
          <w:sz w:val="24"/>
          <w:szCs w:val="24"/>
        </w:rPr>
        <w:t xml:space="preserve">Ho, W. C. (2011). Globalisation, national identity, and music education in China. Music Education Research, 13(1), 15 to 27.</w:t>
      </w:r>
    </w:p>
    <w:p>
      <w:pPr>
        <w:spacing w:line="240" w:before="0" w:after="60"/>
        <w:ind w:left="360" w:hanging="360"/>
        <w:jc w:val="both"/>
      </w:pPr>
      <w:r>
        <w:rPr>
          <w:rFonts w:ascii="Times New Roman" w:cs="Times New Roman" w:eastAsia="Times New Roman" w:hAnsi="Times New Roman"/>
          <w:sz w:val="24"/>
          <w:szCs w:val="24"/>
        </w:rPr>
        <w:t xml:space="preserve">Kivy, P. (1995). Authenticities: Philosophical reflections on musical performance. Cornell University Press.</w:t>
      </w:r>
    </w:p>
    <w:p>
      <w:pPr>
        <w:spacing w:line="240" w:before="0" w:after="60"/>
        <w:ind w:left="360" w:hanging="360"/>
        <w:jc w:val="both"/>
      </w:pPr>
      <w:r>
        <w:rPr>
          <w:rFonts w:ascii="Times New Roman" w:cs="Times New Roman" w:eastAsia="Times New Roman" w:hAnsi="Times New Roman"/>
          <w:sz w:val="24"/>
          <w:szCs w:val="24"/>
        </w:rPr>
        <w:t xml:space="preserve">Kolb, D. A. (1984). Experiential learning: Experience as the source of learning and development. Prentice Hall.</w:t>
      </w:r>
    </w:p>
    <w:p>
      <w:pPr>
        <w:spacing w:line="240" w:before="0" w:after="60"/>
        <w:ind w:left="360" w:hanging="360"/>
        <w:jc w:val="both"/>
      </w:pPr>
      <w:r>
        <w:rPr>
          <w:rFonts w:ascii="Times New Roman" w:cs="Times New Roman" w:eastAsia="Times New Roman" w:hAnsi="Times New Roman"/>
          <w:sz w:val="24"/>
          <w:szCs w:val="24"/>
        </w:rPr>
        <w:t xml:space="preserve">Lave, J., and Wenger, E. (1991). Situated learning: Legitimate peripheral participation. Cambridge University Press.</w:t>
      </w:r>
    </w:p>
    <w:p>
      <w:pPr>
        <w:spacing w:line="240" w:before="0" w:after="60"/>
        <w:ind w:left="360" w:hanging="360"/>
        <w:jc w:val="both"/>
      </w:pPr>
      <w:r>
        <w:rPr>
          <w:rFonts w:ascii="Times New Roman" w:cs="Times New Roman" w:eastAsia="Times New Roman" w:hAnsi="Times New Roman"/>
          <w:sz w:val="24"/>
          <w:szCs w:val="24"/>
        </w:rPr>
        <w:t xml:space="preserve">Lebler, D. (2007). Student-as-master? Reflections on a learning innovation in popular music pedagogy. International Journal of Music Education, 25(3), 205 to 221.</w:t>
      </w:r>
    </w:p>
    <w:p>
      <w:pPr>
        <w:spacing w:line="240" w:before="0" w:after="60"/>
        <w:ind w:left="360" w:hanging="360"/>
        <w:jc w:val="both"/>
      </w:pPr>
      <w:r>
        <w:rPr>
          <w:rFonts w:ascii="Times New Roman" w:cs="Times New Roman" w:eastAsia="Times New Roman" w:hAnsi="Times New Roman"/>
          <w:sz w:val="24"/>
          <w:szCs w:val="24"/>
        </w:rPr>
        <w:t xml:space="preserve">Li, J. (2024). The music education and moral education policy in China. In Exploring Education Policy in a Globalized World (pp. 121 to 137). https://doi.org/10.1007/978-981-96-0194-3_8</w:t>
      </w:r>
    </w:p>
    <w:p>
      <w:pPr>
        <w:spacing w:line="240" w:before="0" w:after="60"/>
        <w:ind w:left="360" w:hanging="360"/>
        <w:jc w:val="both"/>
      </w:pPr>
      <w:r>
        <w:rPr>
          <w:rFonts w:ascii="Times New Roman" w:cs="Times New Roman" w:eastAsia="Times New Roman" w:hAnsi="Times New Roman"/>
          <w:sz w:val="24"/>
          <w:szCs w:val="24"/>
        </w:rPr>
        <w:t xml:space="preserve">Lim, L., and Zhang, Y. (2023). Traditional music and modern pedagogy: Challenges in transmitting Chaozhou music in formal education. Journal of Music Education Research, 25(1), 44 to 58.</w:t>
      </w:r>
    </w:p>
    <w:p>
      <w:pPr>
        <w:spacing w:line="240" w:before="0" w:after="60"/>
        <w:ind w:left="360" w:hanging="360"/>
        <w:jc w:val="both"/>
      </w:pPr>
      <w:r>
        <w:rPr>
          <w:rFonts w:ascii="Times New Roman" w:cs="Times New Roman" w:eastAsia="Times New Roman" w:hAnsi="Times New Roman"/>
          <w:sz w:val="24"/>
          <w:szCs w:val="24"/>
        </w:rPr>
        <w:t xml:space="preserve">Lynn, M. R. (1986). Determination and quantification of content validity. Nursing Research, 35(6), 382 to 385.</w:t>
      </w:r>
    </w:p>
    <w:p>
      <w:pPr>
        <w:spacing w:line="240" w:before="0" w:after="60"/>
        <w:ind w:left="360" w:hanging="360"/>
        <w:jc w:val="both"/>
      </w:pPr>
      <w:r>
        <w:rPr>
          <w:rFonts w:ascii="Times New Roman" w:cs="Times New Roman" w:eastAsia="Times New Roman" w:hAnsi="Times New Roman"/>
          <w:sz w:val="24"/>
          <w:szCs w:val="24"/>
        </w:rPr>
        <w:t xml:space="preserve">McKenney, S., and Reeves, T. C. (2019). Conducting educational design research (2nd ed.). Routledge.</w:t>
      </w:r>
    </w:p>
    <w:p>
      <w:pPr>
        <w:spacing w:line="240" w:before="0" w:after="60"/>
        <w:ind w:left="360" w:hanging="360"/>
        <w:jc w:val="both"/>
      </w:pPr>
      <w:r>
        <w:rPr>
          <w:rFonts w:ascii="Times New Roman" w:cs="Times New Roman" w:eastAsia="Times New Roman" w:hAnsi="Times New Roman"/>
          <w:sz w:val="24"/>
          <w:szCs w:val="24"/>
        </w:rPr>
        <w:t xml:space="preserve">Ministry of Education of the People's Republic of China. (2017). Ordinary higher school music major teaching quality national standards [普通高等学校音乐类专业教学质量国家标准]. Ministry of Education.</w:t>
      </w:r>
    </w:p>
    <w:p>
      <w:pPr>
        <w:spacing w:line="240" w:before="0" w:after="60"/>
        <w:ind w:left="360" w:hanging="360"/>
        <w:jc w:val="both"/>
      </w:pPr>
      <w:r>
        <w:rPr>
          <w:rFonts w:ascii="Times New Roman" w:cs="Times New Roman" w:eastAsia="Times New Roman" w:hAnsi="Times New Roman"/>
          <w:sz w:val="24"/>
          <w:szCs w:val="24"/>
        </w:rPr>
        <w:t xml:space="preserve">Mok, C. (2013). Yueju, Teochew and the regional construction of musical identity in South China. Ethnomusicology Forum, 22(2), 199 to 221.</w:t>
      </w:r>
    </w:p>
    <w:p>
      <w:pPr>
        <w:spacing w:line="240" w:before="0" w:after="60"/>
        <w:ind w:left="360" w:hanging="360"/>
        <w:jc w:val="both"/>
      </w:pPr>
      <w:r>
        <w:rPr>
          <w:rFonts w:ascii="Times New Roman" w:cs="Times New Roman" w:eastAsia="Times New Roman" w:hAnsi="Times New Roman"/>
          <w:sz w:val="24"/>
          <w:szCs w:val="24"/>
        </w:rPr>
        <w:t xml:space="preserve">Morgan, D. L. (2014). Pragmatism as a paradigm for social research. Qualitative Inquiry, 20(8), 1045 to 1053.</w:t>
      </w:r>
    </w:p>
    <w:p>
      <w:pPr>
        <w:spacing w:line="240" w:before="0" w:after="60"/>
        <w:ind w:left="360" w:hanging="360"/>
        <w:jc w:val="both"/>
      </w:pPr>
      <w:r>
        <w:rPr>
          <w:rFonts w:ascii="Times New Roman" w:cs="Times New Roman" w:eastAsia="Times New Roman" w:hAnsi="Times New Roman"/>
          <w:sz w:val="24"/>
          <w:szCs w:val="24"/>
        </w:rPr>
        <w:t xml:space="preserve">Nettl, B. (2005). The study of ethnomusicology: Thirty-one issues and concepts. University of Illinois Press.</w:t>
      </w:r>
    </w:p>
    <w:p>
      <w:pPr>
        <w:spacing w:line="240" w:before="0" w:after="60"/>
        <w:ind w:left="360" w:hanging="360"/>
        <w:jc w:val="both"/>
      </w:pPr>
      <w:r>
        <w:rPr>
          <w:rFonts w:ascii="Times New Roman" w:cs="Times New Roman" w:eastAsia="Times New Roman" w:hAnsi="Times New Roman"/>
          <w:sz w:val="24"/>
          <w:szCs w:val="24"/>
        </w:rPr>
        <w:t xml:space="preserve">Polanyi, M. (1966). The tacit dimension. University of Chicago Press.</w:t>
      </w:r>
    </w:p>
    <w:p>
      <w:pPr>
        <w:spacing w:line="240" w:before="0" w:after="60"/>
        <w:ind w:left="360" w:hanging="360"/>
        <w:jc w:val="both"/>
      </w:pPr>
      <w:r>
        <w:rPr>
          <w:rFonts w:ascii="Times New Roman" w:cs="Times New Roman" w:eastAsia="Times New Roman" w:hAnsi="Times New Roman"/>
          <w:sz w:val="24"/>
          <w:szCs w:val="24"/>
        </w:rPr>
        <w:t xml:space="preserve">Polit, D. F., and Beck, C. T. (2006). The content validity index: Are you sure you know what's being reported? Research in Nursing and Health, 29(5), 489 to 497.</w:t>
      </w:r>
    </w:p>
    <w:p>
      <w:pPr>
        <w:spacing w:line="240" w:before="0" w:after="60"/>
        <w:ind w:left="360" w:hanging="360"/>
        <w:jc w:val="both"/>
      </w:pPr>
      <w:r>
        <w:rPr>
          <w:rFonts w:ascii="Times New Roman" w:cs="Times New Roman" w:eastAsia="Times New Roman" w:hAnsi="Times New Roman"/>
          <w:sz w:val="24"/>
          <w:szCs w:val="24"/>
        </w:rPr>
        <w:t xml:space="preserve">Sadler, D. R. (2009). Indeterminacy in the use of preset criteria for assessment and grading. Assessment and Evaluation in Higher Education, 34(2), 159 to 179.</w:t>
      </w:r>
    </w:p>
    <w:p>
      <w:pPr>
        <w:spacing w:line="240" w:before="0" w:after="60"/>
        <w:ind w:left="360" w:hanging="360"/>
        <w:jc w:val="both"/>
      </w:pPr>
      <w:r>
        <w:rPr>
          <w:rFonts w:ascii="Times New Roman" w:cs="Times New Roman" w:eastAsia="Times New Roman" w:hAnsi="Times New Roman"/>
          <w:sz w:val="24"/>
          <w:szCs w:val="24"/>
        </w:rPr>
        <w:t xml:space="preserve">Schippers, H. (2010). Facing the music: Shaping music education from a global perspective. Oxford University Press.</w:t>
      </w:r>
    </w:p>
    <w:p>
      <w:pPr>
        <w:spacing w:line="240" w:before="0" w:after="60"/>
        <w:ind w:left="360" w:hanging="360"/>
        <w:jc w:val="both"/>
      </w:pPr>
      <w:r>
        <w:rPr>
          <w:rFonts w:ascii="Times New Roman" w:cs="Times New Roman" w:eastAsia="Times New Roman" w:hAnsi="Times New Roman"/>
          <w:sz w:val="24"/>
          <w:szCs w:val="24"/>
        </w:rPr>
        <w:t xml:space="preserve">Schippers, H., and Grant, C. (Eds.). (2016). Sustainable futures for music cultures: An ecological perspective. Oxford University Press.</w:t>
      </w:r>
    </w:p>
    <w:p>
      <w:pPr>
        <w:spacing w:line="240" w:before="0" w:after="60"/>
        <w:ind w:left="360" w:hanging="360"/>
        <w:jc w:val="both"/>
      </w:pPr>
      <w:r>
        <w:rPr>
          <w:rFonts w:ascii="Times New Roman" w:cs="Times New Roman" w:eastAsia="Times New Roman" w:hAnsi="Times New Roman"/>
          <w:sz w:val="24"/>
          <w:szCs w:val="24"/>
        </w:rPr>
        <w:t xml:space="preserve">Schon, D. A. (1983). The reflective practitioner: How professionals think in action. Basic Books.</w:t>
      </w:r>
    </w:p>
    <w:p>
      <w:pPr>
        <w:spacing w:line="240" w:before="0" w:after="60"/>
        <w:ind w:left="360" w:hanging="360"/>
        <w:jc w:val="both"/>
      </w:pPr>
      <w:r>
        <w:rPr>
          <w:rFonts w:ascii="Times New Roman" w:cs="Times New Roman" w:eastAsia="Times New Roman" w:hAnsi="Times New Roman"/>
          <w:sz w:val="24"/>
          <w:szCs w:val="24"/>
        </w:rPr>
        <w:t xml:space="preserve">Taruskin, R. (1995). Text and act: Essays on music and performance. Oxford University Press.</w:t>
      </w:r>
    </w:p>
    <w:p>
      <w:pPr>
        <w:spacing w:line="240" w:before="0" w:after="60"/>
        <w:ind w:left="360" w:hanging="360"/>
        <w:jc w:val="both"/>
      </w:pPr>
      <w:r>
        <w:rPr>
          <w:rFonts w:ascii="Times New Roman" w:cs="Times New Roman" w:eastAsia="Times New Roman" w:hAnsi="Times New Roman"/>
          <w:sz w:val="24"/>
          <w:szCs w:val="24"/>
        </w:rPr>
        <w:t xml:space="preserve">Thorsteinsson, G. (2013). Developing an understanding of the content of craft and design studies. International Journal of Technology and Design Education, 23(2), 263 to 277.</w:t>
      </w:r>
    </w:p>
    <w:p>
      <w:pPr>
        <w:spacing w:line="240" w:before="0" w:after="60"/>
        <w:ind w:left="360" w:hanging="360"/>
        <w:jc w:val="both"/>
      </w:pPr>
      <w:r>
        <w:rPr>
          <w:rFonts w:ascii="Times New Roman" w:cs="Times New Roman" w:eastAsia="Times New Roman" w:hAnsi="Times New Roman"/>
          <w:sz w:val="24"/>
          <w:szCs w:val="24"/>
        </w:rPr>
        <w:t xml:space="preserve">Tyler, R. W. (1949). Basic principles of curriculum and instruction. University of Chicago Press.</w:t>
      </w:r>
    </w:p>
    <w:p>
      <w:pPr>
        <w:spacing w:line="240" w:before="0" w:after="60"/>
        <w:ind w:left="360" w:hanging="360"/>
        <w:jc w:val="both"/>
      </w:pPr>
      <w:r>
        <w:rPr>
          <w:rFonts w:ascii="Times New Roman" w:cs="Times New Roman" w:eastAsia="Times New Roman" w:hAnsi="Times New Roman"/>
          <w:sz w:val="24"/>
          <w:szCs w:val="24"/>
        </w:rPr>
        <w:t xml:space="preserve">UNESCO. (2003). Convention for the Safeguarding of the Intangible Cultural Heritage. UNESCO.</w:t>
      </w:r>
    </w:p>
    <w:p>
      <w:pPr>
        <w:spacing w:line="240" w:before="0" w:after="60"/>
        <w:ind w:left="360" w:hanging="360"/>
        <w:jc w:val="both"/>
      </w:pPr>
      <w:r>
        <w:rPr>
          <w:rFonts w:ascii="Times New Roman" w:cs="Times New Roman" w:eastAsia="Times New Roman" w:hAnsi="Times New Roman"/>
          <w:sz w:val="24"/>
          <w:szCs w:val="24"/>
        </w:rPr>
        <w:t xml:space="preserve">Vygotsky, L. S. (1978). Mind in society: The development of higher psychological processes. Harvard University Press.</w:t>
      </w:r>
    </w:p>
    <w:p>
      <w:pPr>
        <w:spacing w:line="240" w:before="0" w:after="60"/>
        <w:ind w:left="360" w:hanging="360"/>
        <w:jc w:val="both"/>
      </w:pPr>
      <w:r>
        <w:rPr>
          <w:rFonts w:ascii="Times New Roman" w:cs="Times New Roman" w:eastAsia="Times New Roman" w:hAnsi="Times New Roman"/>
          <w:sz w:val="24"/>
          <w:szCs w:val="24"/>
        </w:rPr>
        <w:t xml:space="preserve">Wenger, E. (1998). Communities of practice: Learning, meaning, and identity. Cambridge University Press.</w:t>
      </w:r>
    </w:p>
    <w:p>
      <w:pPr>
        <w:spacing w:line="240" w:before="0" w:after="60"/>
        <w:ind w:left="360" w:hanging="360"/>
        <w:jc w:val="both"/>
      </w:pPr>
      <w:r>
        <w:rPr>
          <w:rFonts w:ascii="Times New Roman" w:cs="Times New Roman" w:eastAsia="Times New Roman" w:hAnsi="Times New Roman"/>
          <w:sz w:val="24"/>
          <w:szCs w:val="24"/>
        </w:rPr>
        <w:t xml:space="preserve">Yang, Y. (2022). Assessing alignment between course standards and teachers' instructional practices in China's school music education. Research Studies in Music Education, 45(1), 56 to 76.</w:t>
      </w:r>
    </w:p>
    <w:p>
      <w:pPr>
        <w:spacing w:line="240" w:before="0" w:after="60"/>
        <w:ind w:left="360" w:hanging="360"/>
        <w:jc w:val="both"/>
      </w:pPr>
      <w:r>
        <w:rPr>
          <w:rFonts w:ascii="Times New Roman" w:cs="Times New Roman" w:eastAsia="Times New Roman" w:hAnsi="Times New Roman"/>
          <w:sz w:val="24"/>
          <w:szCs w:val="24"/>
        </w:rPr>
        <w:t xml:space="preserve">Yang, Y., and Welch, G. F. (2014). Contemporary challenges in learning and teaching folk music in a higher education context: A case study of Hua'er music. Music Education Research, 16(2), 193 to 219.</w:t>
      </w:r>
    </w:p>
    <w:p>
      <w:pPr>
        <w:spacing w:line="240" w:before="0" w:after="60"/>
        <w:ind w:left="360" w:hanging="360"/>
        <w:jc w:val="both"/>
      </w:pPr>
      <w:r>
        <w:rPr>
          <w:rFonts w:ascii="Times New Roman" w:cs="Times New Roman" w:eastAsia="Times New Roman" w:hAnsi="Times New Roman"/>
          <w:sz w:val="24"/>
          <w:szCs w:val="24"/>
        </w:rPr>
        <w:t xml:space="preserve">Zhang, X., and Cross, I. (2021). Analysing the relationship between tone and melody in Chaozhou songs. Journal of New Music Research, 50(4), 299 to 311.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33705a98f91f131ec900907f939c83893d57a28b.png"/><Relationship Id="rId7" Type="http://schemas.openxmlformats.org/officeDocument/2006/relationships/image" Target="media/5a7cb74be97ba6ca323352badb628bef4a7ac30e.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2026-03-06T08:12:51.930Z</dcterms:created>
  <dcterms:modified xsi:type="dcterms:W3CDTF">2026-03-06T08:12:51.931Z</dcterms:modified>
</cp:coreProperties>
</file>

<file path=docProps/custom.xml><?xml version="1.0" encoding="utf-8"?>
<Properties xmlns="http://schemas.openxmlformats.org/officeDocument/2006/custom-properties" xmlns:vt="http://schemas.openxmlformats.org/officeDocument/2006/docPropsVTypes"/>
</file>