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A5F1" w14:textId="7FFFCA79" w:rsidR="00472C8B" w:rsidRPr="002B01F6" w:rsidRDefault="002B01F6" w:rsidP="002B01F6">
      <w:pPr>
        <w:pStyle w:val="NormalWeb"/>
        <w:jc w:val="center"/>
        <w:rPr>
          <w:rStyle w:val="Gl"/>
          <w:rFonts w:eastAsiaTheme="majorEastAsia"/>
          <w:lang w:val="en-US"/>
        </w:rPr>
      </w:pPr>
      <w:r w:rsidRPr="002B01F6">
        <w:rPr>
          <w:rStyle w:val="Gl"/>
          <w:rFonts w:eastAsiaTheme="majorEastAsia"/>
          <w:lang w:val="en-US"/>
        </w:rPr>
        <w:t>FROM LEARNING VALUE TO SUSTAINABLE ACTION: MOTIVATIONAL PATHWAYS IN THE CONTEXT OF HIGHER EDUCATION AND ORGANISATIONAL ETHICS</w:t>
      </w:r>
    </w:p>
    <w:p w14:paraId="03DA291F" w14:textId="7FC39312" w:rsidR="00472C8B" w:rsidRPr="002B01F6" w:rsidRDefault="00472C8B" w:rsidP="00472C8B">
      <w:pPr>
        <w:pStyle w:val="AralkYok"/>
        <w:jc w:val="center"/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  <w:vertAlign w:val="superscript"/>
        </w:rPr>
      </w:pPr>
      <w:r w:rsidRPr="002B01F6"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</w:rPr>
        <w:t xml:space="preserve">Gabija </w:t>
      </w:r>
      <w:r w:rsidRPr="002B01F6"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</w:rPr>
        <w:t>Skučaitė</w:t>
      </w:r>
      <w:r w:rsidRPr="002B01F6">
        <w:rPr>
          <w:rFonts w:ascii="Times New Roman" w:eastAsiaTheme="majorEastAsia" w:hAnsi="Times New Roman" w:cs="Times New Roman"/>
          <w:b/>
          <w:bCs/>
          <w:i/>
          <w:iCs/>
          <w:vertAlign w:val="superscript"/>
        </w:rPr>
        <w:t>1</w:t>
      </w:r>
    </w:p>
    <w:p w14:paraId="0DE026D1" w14:textId="11628B52" w:rsidR="00472C8B" w:rsidRPr="002B01F6" w:rsidRDefault="00472C8B" w:rsidP="00472C8B">
      <w:pPr>
        <w:pStyle w:val="AralkYok"/>
        <w:jc w:val="center"/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  <w:vertAlign w:val="superscript"/>
        </w:rPr>
      </w:pPr>
      <w:r w:rsidRPr="002B01F6"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</w:rPr>
        <w:t>Mehmet Recai Uygur</w:t>
      </w:r>
      <w:r w:rsidRPr="002B01F6">
        <w:rPr>
          <w:rFonts w:ascii="Times New Roman" w:eastAsiaTheme="majorEastAsia" w:hAnsi="Times New Roman" w:cs="Times New Roman"/>
          <w:b/>
          <w:bCs/>
          <w:i/>
          <w:iCs/>
          <w:vertAlign w:val="superscript"/>
        </w:rPr>
        <w:t>2</w:t>
      </w:r>
      <w:r w:rsidRPr="002B01F6"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  <w:vertAlign w:val="superscript"/>
        </w:rPr>
        <w:t>*</w:t>
      </w:r>
    </w:p>
    <w:p w14:paraId="504EB59E" w14:textId="4023257A" w:rsidR="00472C8B" w:rsidRPr="002B01F6" w:rsidRDefault="00472C8B" w:rsidP="00472C8B">
      <w:pPr>
        <w:pStyle w:val="AralkYok"/>
        <w:jc w:val="center"/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  <w:vertAlign w:val="superscript"/>
        </w:rPr>
      </w:pPr>
    </w:p>
    <w:p w14:paraId="2AC018AD" w14:textId="5360EF2D" w:rsidR="00472C8B" w:rsidRPr="002B01F6" w:rsidRDefault="00472C8B" w:rsidP="00472C8B">
      <w:pPr>
        <w:pStyle w:val="DipnotMetni"/>
        <w:jc w:val="center"/>
        <w:rPr>
          <w:rFonts w:ascii="Times New Roman" w:hAnsi="Times New Roman" w:cs="Times New Roman"/>
          <w:sz w:val="24"/>
          <w:szCs w:val="24"/>
        </w:rPr>
      </w:pPr>
      <w:r w:rsidRPr="002B01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B01F6">
        <w:rPr>
          <w:rFonts w:ascii="Times New Roman" w:hAnsi="Times New Roman" w:cs="Times New Roman"/>
          <w:sz w:val="24"/>
          <w:szCs w:val="24"/>
        </w:rPr>
        <w:t xml:space="preserve"> </w:t>
      </w:r>
      <w:r w:rsidRPr="002B01F6">
        <w:rPr>
          <w:rFonts w:ascii="Times New Roman" w:hAnsi="Times New Roman" w:cs="Times New Roman"/>
          <w:sz w:val="24"/>
          <w:szCs w:val="24"/>
        </w:rPr>
        <w:t xml:space="preserve">Director, Vilnius Business College, Vilnius, Lithuania,  </w:t>
      </w:r>
      <w:hyperlink r:id="rId7" w:history="1">
        <w:r w:rsidRPr="002B01F6">
          <w:rPr>
            <w:rStyle w:val="Kpr"/>
            <w:rFonts w:ascii="Times New Roman" w:hAnsi="Times New Roman" w:cs="Times New Roman"/>
            <w:sz w:val="24"/>
            <w:szCs w:val="24"/>
          </w:rPr>
          <w:t>g</w:t>
        </w:r>
        <w:r w:rsidRPr="002B01F6">
          <w:rPr>
            <w:rStyle w:val="Kpr"/>
            <w:rFonts w:ascii="Times New Roman" w:hAnsi="Times New Roman" w:cs="Times New Roman"/>
            <w:sz w:val="24"/>
            <w:szCs w:val="24"/>
          </w:rPr>
          <w:t>abija.skucaite@kolegija.lt</w:t>
        </w:r>
      </w:hyperlink>
      <w:r w:rsidRPr="002B01F6">
        <w:rPr>
          <w:rFonts w:ascii="Times New Roman" w:hAnsi="Times New Roman" w:cs="Times New Roman"/>
          <w:sz w:val="24"/>
          <w:szCs w:val="24"/>
        </w:rPr>
        <w:t>, ORCID: 0000-0003-3169-3965</w:t>
      </w:r>
    </w:p>
    <w:p w14:paraId="6C500F26" w14:textId="54265AEC" w:rsidR="00472C8B" w:rsidRPr="002B01F6" w:rsidRDefault="00472C8B" w:rsidP="00472C8B">
      <w:pPr>
        <w:pStyle w:val="AralkYok"/>
        <w:jc w:val="center"/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</w:rPr>
      </w:pPr>
      <w:r w:rsidRPr="002B01F6">
        <w:rPr>
          <w:rFonts w:ascii="Times New Roman" w:hAnsi="Times New Roman" w:cs="Times New Roman"/>
          <w:vertAlign w:val="superscript"/>
        </w:rPr>
        <w:t>2</w:t>
      </w:r>
      <w:r w:rsidRPr="002B01F6">
        <w:rPr>
          <w:rFonts w:ascii="Times New Roman" w:hAnsi="Times New Roman" w:cs="Times New Roman"/>
        </w:rPr>
        <w:t xml:space="preserve">Assoc. Prof., Department of Business Management and Marketing, Vilnius Business College, Vilnius, Lithuania </w:t>
      </w:r>
      <w:hyperlink r:id="rId8" w:history="1">
        <w:r w:rsidRPr="002B01F6">
          <w:rPr>
            <w:rStyle w:val="Kpr"/>
            <w:rFonts w:ascii="Times New Roman" w:hAnsi="Times New Roman" w:cs="Times New Roman"/>
          </w:rPr>
          <w:t>mehmet.uygur@kolegija.lt</w:t>
        </w:r>
      </w:hyperlink>
      <w:r w:rsidRPr="002B01F6">
        <w:rPr>
          <w:rFonts w:ascii="Times New Roman" w:hAnsi="Times New Roman" w:cs="Times New Roman"/>
        </w:rPr>
        <w:t>, ORCID: 0000-0003-1872-0885</w:t>
      </w:r>
    </w:p>
    <w:p w14:paraId="239C4A2A" w14:textId="77777777" w:rsidR="00472C8B" w:rsidRPr="002B01F6" w:rsidRDefault="00472C8B" w:rsidP="00472C8B">
      <w:pPr>
        <w:pStyle w:val="AralkYok"/>
        <w:jc w:val="center"/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  <w:vertAlign w:val="superscript"/>
        </w:rPr>
      </w:pPr>
    </w:p>
    <w:p w14:paraId="13091309" w14:textId="0590EB37" w:rsidR="00472C8B" w:rsidRPr="002B01F6" w:rsidRDefault="00472C8B" w:rsidP="00472C8B">
      <w:pPr>
        <w:pStyle w:val="AralkYok"/>
        <w:jc w:val="center"/>
        <w:rPr>
          <w:rFonts w:ascii="Times New Roman" w:hAnsi="Times New Roman" w:cs="Times New Roman"/>
          <w:b/>
          <w:bCs/>
          <w:i/>
          <w:iCs/>
        </w:rPr>
      </w:pPr>
      <w:r w:rsidRPr="002B01F6"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  <w:vertAlign w:val="superscript"/>
        </w:rPr>
        <w:t>*</w:t>
      </w:r>
      <w:r w:rsidRPr="002B01F6">
        <w:rPr>
          <w:rStyle w:val="Gl"/>
          <w:rFonts w:ascii="Times New Roman" w:eastAsiaTheme="majorEastAsia" w:hAnsi="Times New Roman" w:cs="Times New Roman"/>
          <w:b w:val="0"/>
          <w:bCs w:val="0"/>
          <w:i/>
          <w:iCs/>
        </w:rPr>
        <w:t>Corresponding Author</w:t>
      </w:r>
    </w:p>
    <w:p w14:paraId="35BCB451" w14:textId="77777777" w:rsidR="00472C8B" w:rsidRPr="002B01F6" w:rsidRDefault="00472C8B" w:rsidP="00472C8B">
      <w:pPr>
        <w:pStyle w:val="NormalWeb"/>
        <w:jc w:val="both"/>
        <w:rPr>
          <w:lang w:val="en-US"/>
        </w:rPr>
      </w:pPr>
      <w:r w:rsidRPr="002B01F6">
        <w:rPr>
          <w:rStyle w:val="Gl"/>
          <w:rFonts w:eastAsiaTheme="majorEastAsia"/>
          <w:lang w:val="en-US"/>
        </w:rPr>
        <w:t>Abstract</w:t>
      </w:r>
      <w:r w:rsidRPr="002B01F6">
        <w:rPr>
          <w:lang w:val="en-US"/>
        </w:rPr>
        <w:br/>
        <w:t>How does perceiving one’s studies as meaningful translate into sustainable action? Building on self</w:t>
      </w:r>
      <w:r w:rsidRPr="002B01F6">
        <w:rPr>
          <w:lang w:val="en-US"/>
        </w:rPr>
        <w:noBreakHyphen/>
        <w:t xml:space="preserve">determination and moral motivation literatures, we test a serial mediation model linking perceived learning value to sustainable </w:t>
      </w:r>
      <w:proofErr w:type="spellStart"/>
      <w:r w:rsidRPr="002B01F6">
        <w:rPr>
          <w:lang w:val="en-US"/>
        </w:rPr>
        <w:t>behaviour</w:t>
      </w:r>
      <w:proofErr w:type="spellEnd"/>
      <w:r w:rsidRPr="002B01F6">
        <w:rPr>
          <w:lang w:val="en-US"/>
        </w:rPr>
        <w:t xml:space="preserve"> through competence/autonomy and moral orientation. Cross</w:t>
      </w:r>
      <w:r w:rsidRPr="002B01F6">
        <w:rPr>
          <w:lang w:val="en-US"/>
        </w:rPr>
        <w:noBreakHyphen/>
        <w:t>sectional data from higher</w:t>
      </w:r>
      <w:r w:rsidRPr="002B01F6">
        <w:rPr>
          <w:lang w:val="en-US"/>
        </w:rPr>
        <w:noBreakHyphen/>
        <w:t xml:space="preserve">education students (N = 417) were </w:t>
      </w:r>
      <w:proofErr w:type="spellStart"/>
      <w:r w:rsidRPr="002B01F6">
        <w:rPr>
          <w:lang w:val="en-US"/>
        </w:rPr>
        <w:t>analysed</w:t>
      </w:r>
      <w:proofErr w:type="spellEnd"/>
      <w:r w:rsidRPr="002B01F6">
        <w:rPr>
          <w:lang w:val="en-US"/>
        </w:rPr>
        <w:t xml:space="preserve"> using </w:t>
      </w:r>
      <w:proofErr w:type="spellStart"/>
      <w:r w:rsidRPr="002B01F6">
        <w:rPr>
          <w:lang w:val="en-US"/>
        </w:rPr>
        <w:t>standardised</w:t>
      </w:r>
      <w:proofErr w:type="spellEnd"/>
      <w:r w:rsidRPr="002B01F6">
        <w:rPr>
          <w:lang w:val="en-US"/>
        </w:rPr>
        <w:t xml:space="preserve"> composites and a PROCESS</w:t>
      </w:r>
      <w:r w:rsidRPr="002B01F6">
        <w:rPr>
          <w:lang w:val="en-US"/>
        </w:rPr>
        <w:noBreakHyphen/>
        <w:t xml:space="preserve">style path framework with 1,000 bootstrap resamples. Perceived learning value strongly predicted competence/autonomy (β = .71, p &lt; .001; R² = .51), which in turn predicted moral orientation (β = .49, p &lt; .001; model R² = .54). In the outcome equation, competence/autonomy remained a significant predictor of sustainable </w:t>
      </w:r>
      <w:proofErr w:type="spellStart"/>
      <w:r w:rsidRPr="002B01F6">
        <w:rPr>
          <w:lang w:val="en-US"/>
        </w:rPr>
        <w:t>behaviour</w:t>
      </w:r>
      <w:proofErr w:type="spellEnd"/>
      <w:r w:rsidRPr="002B01F6">
        <w:rPr>
          <w:lang w:val="en-US"/>
        </w:rPr>
        <w:t xml:space="preserve"> (β = .28, p &lt; .001; model R² = .18), whereas moral orientation did not (β = .08, </w:t>
      </w:r>
      <w:proofErr w:type="spellStart"/>
      <w:r w:rsidRPr="002B01F6">
        <w:rPr>
          <w:lang w:val="en-US"/>
        </w:rPr>
        <w:t>n.s</w:t>
      </w:r>
      <w:proofErr w:type="spellEnd"/>
      <w:r w:rsidRPr="002B01F6">
        <w:rPr>
          <w:lang w:val="en-US"/>
        </w:rPr>
        <w:t xml:space="preserve">.). The indirect effect of learning value on sustainable </w:t>
      </w:r>
      <w:proofErr w:type="spellStart"/>
      <w:r w:rsidRPr="002B01F6">
        <w:rPr>
          <w:lang w:val="en-US"/>
        </w:rPr>
        <w:t>behaviour</w:t>
      </w:r>
      <w:proofErr w:type="spellEnd"/>
      <w:r w:rsidRPr="002B01F6">
        <w:rPr>
          <w:lang w:val="en-US"/>
        </w:rPr>
        <w:t xml:space="preserve"> </w:t>
      </w:r>
      <w:r w:rsidRPr="002B01F6">
        <w:rPr>
          <w:rStyle w:val="Gl"/>
          <w:rFonts w:eastAsiaTheme="majorEastAsia"/>
          <w:lang w:val="en-US"/>
        </w:rPr>
        <w:t>via competence/autonomy</w:t>
      </w:r>
      <w:r w:rsidRPr="002B01F6">
        <w:rPr>
          <w:lang w:val="en-US"/>
        </w:rPr>
        <w:t xml:space="preserve"> was robust (β = .20, 95% CI [.11, .29]); the serial path via competence → moral orientation was small and non</w:t>
      </w:r>
      <w:r w:rsidRPr="002B01F6">
        <w:rPr>
          <w:lang w:val="en-US"/>
        </w:rPr>
        <w:noBreakHyphen/>
        <w:t xml:space="preserve">significant. The total effect of learning value on sustainable </w:t>
      </w:r>
      <w:proofErr w:type="spellStart"/>
      <w:r w:rsidRPr="002B01F6">
        <w:rPr>
          <w:lang w:val="en-US"/>
        </w:rPr>
        <w:t>behaviour</w:t>
      </w:r>
      <w:proofErr w:type="spellEnd"/>
      <w:r w:rsidRPr="002B01F6">
        <w:rPr>
          <w:lang w:val="en-US"/>
        </w:rPr>
        <w:t xml:space="preserve"> was moderate (β = .36), with the </w:t>
      </w:r>
      <w:r w:rsidRPr="002B01F6">
        <w:rPr>
          <w:rStyle w:val="Gl"/>
          <w:rFonts w:eastAsiaTheme="majorEastAsia"/>
          <w:lang w:val="en-US"/>
        </w:rPr>
        <w:t>total indirect</w:t>
      </w:r>
      <w:r w:rsidRPr="002B01F6">
        <w:rPr>
          <w:lang w:val="en-US"/>
        </w:rPr>
        <w:t xml:space="preserve"> (β = .25, 95% CI [.16, .34]) accounting for most of it. These findings suggest that capability and perceived control are the primary bridge from meaningful learning to sustainable action. Practically, universities and </w:t>
      </w:r>
      <w:proofErr w:type="spellStart"/>
      <w:r w:rsidRPr="002B01F6">
        <w:rPr>
          <w:lang w:val="en-US"/>
        </w:rPr>
        <w:t>organisations</w:t>
      </w:r>
      <w:proofErr w:type="spellEnd"/>
      <w:r w:rsidRPr="002B01F6">
        <w:rPr>
          <w:lang w:val="en-US"/>
        </w:rPr>
        <w:t xml:space="preserve"> seeking ethics</w:t>
      </w:r>
      <w:r w:rsidRPr="002B01F6">
        <w:rPr>
          <w:lang w:val="en-US"/>
        </w:rPr>
        <w:noBreakHyphen/>
        <w:t xml:space="preserve">aligned outcomes should </w:t>
      </w:r>
      <w:proofErr w:type="spellStart"/>
      <w:r w:rsidRPr="002B01F6">
        <w:rPr>
          <w:lang w:val="en-US"/>
        </w:rPr>
        <w:t>prioritise</w:t>
      </w:r>
      <w:proofErr w:type="spellEnd"/>
      <w:r w:rsidRPr="002B01F6">
        <w:rPr>
          <w:lang w:val="en-US"/>
        </w:rPr>
        <w:t xml:space="preserve"> competence</w:t>
      </w:r>
      <w:r w:rsidRPr="002B01F6">
        <w:rPr>
          <w:lang w:val="en-US"/>
        </w:rPr>
        <w:noBreakHyphen/>
        <w:t xml:space="preserve">building (tools, practice, feedback) alongside values education to convert intentions into </w:t>
      </w:r>
      <w:proofErr w:type="spellStart"/>
      <w:r w:rsidRPr="002B01F6">
        <w:rPr>
          <w:lang w:val="en-US"/>
        </w:rPr>
        <w:t>behaviours</w:t>
      </w:r>
      <w:proofErr w:type="spellEnd"/>
      <w:r w:rsidRPr="002B01F6">
        <w:rPr>
          <w:lang w:val="en-US"/>
        </w:rPr>
        <w:t xml:space="preserve"> at scale.</w:t>
      </w:r>
    </w:p>
    <w:p w14:paraId="235E4FE2" w14:textId="6517EE4B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rStyle w:val="Gl"/>
          <w:rFonts w:eastAsiaTheme="majorEastAsia"/>
          <w:lang w:val="en-US"/>
        </w:rPr>
        <w:t>Keywords</w:t>
      </w:r>
      <w:r w:rsidR="002B01F6">
        <w:rPr>
          <w:lang w:val="en-US"/>
        </w:rPr>
        <w:t xml:space="preserve">: </w:t>
      </w:r>
      <w:r w:rsidRPr="002B01F6">
        <w:rPr>
          <w:lang w:val="en-US"/>
        </w:rPr>
        <w:t xml:space="preserve">Learning value; Competence/autonomy; Moral orientation; Sustainable </w:t>
      </w:r>
      <w:proofErr w:type="spellStart"/>
      <w:r w:rsidRPr="002B01F6">
        <w:rPr>
          <w:lang w:val="en-US"/>
        </w:rPr>
        <w:t>behaviour</w:t>
      </w:r>
      <w:proofErr w:type="spellEnd"/>
      <w:r w:rsidRPr="002B01F6">
        <w:rPr>
          <w:lang w:val="en-US"/>
        </w:rPr>
        <w:t xml:space="preserve">; </w:t>
      </w:r>
      <w:proofErr w:type="spellStart"/>
      <w:r w:rsidRPr="002B01F6">
        <w:rPr>
          <w:lang w:val="en-US"/>
        </w:rPr>
        <w:t>Organisational</w:t>
      </w:r>
      <w:proofErr w:type="spellEnd"/>
      <w:r w:rsidRPr="002B01F6">
        <w:rPr>
          <w:lang w:val="en-US"/>
        </w:rPr>
        <w:t xml:space="preserve"> ethics</w:t>
      </w:r>
    </w:p>
    <w:p w14:paraId="08C8A679" w14:textId="78B3DA80" w:rsidR="00472C8B" w:rsidRPr="002B01F6" w:rsidRDefault="00472C8B" w:rsidP="00472C8B">
      <w:pPr>
        <w:rPr>
          <w:rFonts w:ascii="Times New Roman" w:hAnsi="Times New Roman" w:cs="Times New Roman"/>
          <w:b/>
          <w:bCs/>
        </w:rPr>
      </w:pPr>
      <w:r w:rsidRPr="002B01F6">
        <w:rPr>
          <w:rFonts w:ascii="Times New Roman" w:hAnsi="Times New Roman" w:cs="Times New Roman"/>
          <w:b/>
          <w:bCs/>
        </w:rPr>
        <w:t xml:space="preserve">Brief </w:t>
      </w:r>
      <w:r w:rsidRPr="002B01F6">
        <w:rPr>
          <w:rFonts w:ascii="Times New Roman" w:hAnsi="Times New Roman" w:cs="Times New Roman"/>
          <w:b/>
          <w:bCs/>
        </w:rPr>
        <w:t>Introduction</w:t>
      </w:r>
    </w:p>
    <w:p w14:paraId="6CEC2C8E" w14:textId="77777777" w:rsidR="00472C8B" w:rsidRPr="002B01F6" w:rsidRDefault="00472C8B" w:rsidP="00472C8B">
      <w:pPr>
        <w:rPr>
          <w:rFonts w:ascii="Times New Roman" w:hAnsi="Times New Roman" w:cs="Times New Roman"/>
          <w:b/>
          <w:bCs/>
        </w:rPr>
      </w:pPr>
    </w:p>
    <w:p w14:paraId="14A73199" w14:textId="77777777" w:rsidR="00472C8B" w:rsidRPr="002B01F6" w:rsidRDefault="00472C8B" w:rsidP="00472C8B">
      <w:pPr>
        <w:pStyle w:val="AralkYok"/>
        <w:jc w:val="both"/>
        <w:rPr>
          <w:rFonts w:ascii="Times New Roman" w:hAnsi="Times New Roman" w:cs="Times New Roman"/>
        </w:rPr>
      </w:pPr>
      <w:proofErr w:type="spellStart"/>
      <w:r w:rsidRPr="002B01F6">
        <w:rPr>
          <w:rFonts w:ascii="Times New Roman" w:hAnsi="Times New Roman" w:cs="Times New Roman"/>
        </w:rPr>
        <w:t>Organisations</w:t>
      </w:r>
      <w:proofErr w:type="spellEnd"/>
      <w:r w:rsidRPr="002B01F6">
        <w:rPr>
          <w:rFonts w:ascii="Times New Roman" w:hAnsi="Times New Roman" w:cs="Times New Roman"/>
        </w:rPr>
        <w:t xml:space="preserve"> increasingly expect graduates to enact sustainability in day</w:t>
      </w:r>
      <w:r w:rsidRPr="002B01F6">
        <w:rPr>
          <w:rFonts w:ascii="Times New Roman" w:hAnsi="Times New Roman" w:cs="Times New Roman"/>
        </w:rPr>
        <w:noBreakHyphen/>
        <w:t>to</w:t>
      </w:r>
      <w:r w:rsidRPr="002B01F6">
        <w:rPr>
          <w:rFonts w:ascii="Times New Roman" w:hAnsi="Times New Roman" w:cs="Times New Roman"/>
        </w:rPr>
        <w:noBreakHyphen/>
        <w:t>day decisions, yet converting values learned in higher education into consistent pro</w:t>
      </w:r>
      <w:r w:rsidRPr="002B01F6">
        <w:rPr>
          <w:rFonts w:ascii="Times New Roman" w:hAnsi="Times New Roman" w:cs="Times New Roman"/>
        </w:rPr>
        <w:noBreakHyphen/>
        <w:t xml:space="preserve">environmental </w:t>
      </w:r>
      <w:proofErr w:type="spellStart"/>
      <w:r w:rsidRPr="002B01F6">
        <w:rPr>
          <w:rFonts w:ascii="Times New Roman" w:hAnsi="Times New Roman" w:cs="Times New Roman"/>
        </w:rPr>
        <w:t>behaviour</w:t>
      </w:r>
      <w:proofErr w:type="spellEnd"/>
      <w:r w:rsidRPr="002B01F6">
        <w:rPr>
          <w:rFonts w:ascii="Times New Roman" w:hAnsi="Times New Roman" w:cs="Times New Roman"/>
        </w:rPr>
        <w:t xml:space="preserve"> remains a persistent challenge (Ones &amp; </w:t>
      </w:r>
      <w:proofErr w:type="spellStart"/>
      <w:r w:rsidRPr="002B01F6">
        <w:rPr>
          <w:rFonts w:ascii="Times New Roman" w:hAnsi="Times New Roman" w:cs="Times New Roman"/>
        </w:rPr>
        <w:t>Dilchert</w:t>
      </w:r>
      <w:proofErr w:type="spellEnd"/>
      <w:r w:rsidRPr="002B01F6">
        <w:rPr>
          <w:rFonts w:ascii="Times New Roman" w:hAnsi="Times New Roman" w:cs="Times New Roman"/>
        </w:rPr>
        <w:t xml:space="preserve">, 2012). Motivational theories suggest that learning experiences perceived as valuable can be </w:t>
      </w:r>
      <w:proofErr w:type="spellStart"/>
      <w:r w:rsidRPr="002B01F6">
        <w:rPr>
          <w:rFonts w:ascii="Times New Roman" w:hAnsi="Times New Roman" w:cs="Times New Roman"/>
        </w:rPr>
        <w:t>internalised</w:t>
      </w:r>
      <w:proofErr w:type="spellEnd"/>
      <w:r w:rsidRPr="002B01F6">
        <w:rPr>
          <w:rFonts w:ascii="Times New Roman" w:hAnsi="Times New Roman" w:cs="Times New Roman"/>
        </w:rPr>
        <w:t xml:space="preserve"> and translated into action when learners feel capable, autonomous, and morally oriented toward contributing to others (Deci &amp; Ryan, 2000; Eccles &amp; Wigfield, 2002). Building on this premise, our study examines whether the perceived value and meaning of learning predict sustainable </w:t>
      </w:r>
      <w:proofErr w:type="spellStart"/>
      <w:r w:rsidRPr="002B01F6">
        <w:rPr>
          <w:rFonts w:ascii="Times New Roman" w:hAnsi="Times New Roman" w:cs="Times New Roman"/>
        </w:rPr>
        <w:t>behaviour</w:t>
      </w:r>
      <w:proofErr w:type="spellEnd"/>
      <w:r w:rsidRPr="002B01F6">
        <w:rPr>
          <w:rFonts w:ascii="Times New Roman" w:hAnsi="Times New Roman" w:cs="Times New Roman"/>
        </w:rPr>
        <w:t xml:space="preserve"> through two motivational pathways: (a) competence/autonomy and (b) moral orientation. Using a large student sample, we test a serial mediation model relevant to both education and </w:t>
      </w:r>
      <w:proofErr w:type="spellStart"/>
      <w:r w:rsidRPr="002B01F6">
        <w:rPr>
          <w:rFonts w:ascii="Times New Roman" w:hAnsi="Times New Roman" w:cs="Times New Roman"/>
        </w:rPr>
        <w:t>organisational</w:t>
      </w:r>
      <w:proofErr w:type="spellEnd"/>
      <w:r w:rsidRPr="002B01F6">
        <w:rPr>
          <w:rFonts w:ascii="Times New Roman" w:hAnsi="Times New Roman" w:cs="Times New Roman"/>
        </w:rPr>
        <w:t xml:space="preserve"> ethics, with implications for capability</w:t>
      </w:r>
      <w:r w:rsidRPr="002B01F6">
        <w:rPr>
          <w:rFonts w:ascii="Times New Roman" w:hAnsi="Times New Roman" w:cs="Times New Roman"/>
        </w:rPr>
        <w:noBreakHyphen/>
        <w:t xml:space="preserve">building interventions that help turn values into </w:t>
      </w:r>
      <w:proofErr w:type="spellStart"/>
      <w:r w:rsidRPr="002B01F6">
        <w:rPr>
          <w:rFonts w:ascii="Times New Roman" w:hAnsi="Times New Roman" w:cs="Times New Roman"/>
        </w:rPr>
        <w:t>behaviours</w:t>
      </w:r>
      <w:proofErr w:type="spellEnd"/>
      <w:r w:rsidRPr="002B01F6">
        <w:rPr>
          <w:rFonts w:ascii="Times New Roman" w:hAnsi="Times New Roman" w:cs="Times New Roman"/>
        </w:rPr>
        <w:t>.</w:t>
      </w:r>
    </w:p>
    <w:p w14:paraId="16A6BC92" w14:textId="77777777" w:rsidR="00472C8B" w:rsidRPr="002B01F6" w:rsidRDefault="00472C8B" w:rsidP="00472C8B">
      <w:pPr>
        <w:pStyle w:val="AralkYok"/>
        <w:jc w:val="both"/>
        <w:rPr>
          <w:rFonts w:ascii="Times New Roman" w:hAnsi="Times New Roman" w:cs="Times New Roman"/>
        </w:rPr>
      </w:pPr>
    </w:p>
    <w:p w14:paraId="6D26728D" w14:textId="5020CD2A" w:rsidR="00472C8B" w:rsidRDefault="00472C8B" w:rsidP="00472C8B">
      <w:pPr>
        <w:rPr>
          <w:rFonts w:ascii="Times New Roman" w:hAnsi="Times New Roman" w:cs="Times New Roman"/>
          <w:b/>
          <w:bCs/>
        </w:rPr>
      </w:pPr>
      <w:proofErr w:type="spellStart"/>
      <w:r w:rsidRPr="002B01F6">
        <w:rPr>
          <w:rFonts w:ascii="Times New Roman" w:hAnsi="Times New Roman" w:cs="Times New Roman"/>
          <w:b/>
          <w:bCs/>
        </w:rPr>
        <w:t>S</w:t>
      </w:r>
      <w:r w:rsidRPr="002B01F6">
        <w:rPr>
          <w:rFonts w:ascii="Times New Roman" w:hAnsi="Times New Roman" w:cs="Times New Roman"/>
          <w:b/>
          <w:bCs/>
        </w:rPr>
        <w:t>ummery</w:t>
      </w:r>
      <w:proofErr w:type="spellEnd"/>
      <w:r w:rsidRPr="002B01F6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2B01F6">
        <w:rPr>
          <w:rFonts w:ascii="Times New Roman" w:hAnsi="Times New Roman" w:cs="Times New Roman"/>
          <w:b/>
          <w:bCs/>
        </w:rPr>
        <w:t xml:space="preserve">of </w:t>
      </w:r>
      <w:r w:rsidRPr="002B01F6">
        <w:rPr>
          <w:rFonts w:ascii="Times New Roman" w:hAnsi="Times New Roman" w:cs="Times New Roman"/>
          <w:b/>
          <w:bCs/>
        </w:rPr>
        <w:t xml:space="preserve"> </w:t>
      </w:r>
      <w:r w:rsidRPr="002B01F6">
        <w:rPr>
          <w:rFonts w:ascii="Times New Roman" w:hAnsi="Times New Roman" w:cs="Times New Roman"/>
          <w:b/>
          <w:bCs/>
        </w:rPr>
        <w:t>L</w:t>
      </w:r>
      <w:r w:rsidRPr="002B01F6">
        <w:rPr>
          <w:rFonts w:ascii="Times New Roman" w:hAnsi="Times New Roman" w:cs="Times New Roman"/>
          <w:b/>
          <w:bCs/>
        </w:rPr>
        <w:t>iterature</w:t>
      </w:r>
      <w:proofErr w:type="gramEnd"/>
      <w:r w:rsidRPr="002B01F6">
        <w:rPr>
          <w:rFonts w:ascii="Times New Roman" w:hAnsi="Times New Roman" w:cs="Times New Roman"/>
          <w:b/>
          <w:bCs/>
        </w:rPr>
        <w:t xml:space="preserve"> </w:t>
      </w:r>
      <w:r w:rsidRPr="002B01F6">
        <w:rPr>
          <w:rFonts w:ascii="Times New Roman" w:hAnsi="Times New Roman" w:cs="Times New Roman"/>
          <w:b/>
          <w:bCs/>
        </w:rPr>
        <w:t>R</w:t>
      </w:r>
      <w:r w:rsidRPr="002B01F6">
        <w:rPr>
          <w:rFonts w:ascii="Times New Roman" w:hAnsi="Times New Roman" w:cs="Times New Roman"/>
          <w:b/>
          <w:bCs/>
        </w:rPr>
        <w:t>eview</w:t>
      </w:r>
    </w:p>
    <w:p w14:paraId="250A7C06" w14:textId="77777777" w:rsidR="002B01F6" w:rsidRPr="002B01F6" w:rsidRDefault="002B01F6" w:rsidP="00472C8B">
      <w:pPr>
        <w:rPr>
          <w:rFonts w:ascii="Times New Roman" w:hAnsi="Times New Roman" w:cs="Times New Roman"/>
          <w:b/>
          <w:bCs/>
        </w:rPr>
      </w:pPr>
    </w:p>
    <w:p w14:paraId="77057F5C" w14:textId="77777777" w:rsidR="00472C8B" w:rsidRPr="002B01F6" w:rsidRDefault="00472C8B" w:rsidP="00472C8B">
      <w:pPr>
        <w:pStyle w:val="AralkYok"/>
        <w:jc w:val="both"/>
        <w:rPr>
          <w:rFonts w:ascii="Times New Roman" w:hAnsi="Times New Roman" w:cs="Times New Roman"/>
        </w:rPr>
      </w:pPr>
      <w:r w:rsidRPr="002B01F6">
        <w:rPr>
          <w:rFonts w:ascii="Times New Roman" w:hAnsi="Times New Roman" w:cs="Times New Roman"/>
        </w:rPr>
        <w:t xml:space="preserve">Expectancy–value theory posits that </w:t>
      </w:r>
      <w:r w:rsidRPr="002B01F6">
        <w:rPr>
          <w:rStyle w:val="Gl"/>
          <w:rFonts w:ascii="Times New Roman" w:hAnsi="Times New Roman" w:cs="Times New Roman"/>
          <w:b w:val="0"/>
          <w:bCs w:val="0"/>
        </w:rPr>
        <w:t>subjective task value</w:t>
      </w:r>
      <w:r w:rsidRPr="002B01F6">
        <w:rPr>
          <w:rFonts w:ascii="Times New Roman" w:hAnsi="Times New Roman" w:cs="Times New Roman"/>
        </w:rPr>
        <w:t xml:space="preserve"> (e.g., perceived importance, utility, interest) is a key driver of choice, persistence, and effort (Eccles &amp; Wigfield, 2002). In educational and work settings, perceiving learning as valuable increases engagement and the likelihood that </w:t>
      </w:r>
      <w:r w:rsidRPr="002B01F6">
        <w:rPr>
          <w:rFonts w:ascii="Times New Roman" w:hAnsi="Times New Roman" w:cs="Times New Roman"/>
        </w:rPr>
        <w:lastRenderedPageBreak/>
        <w:t xml:space="preserve">knowledge is enacted in practice, especially when tasks feel </w:t>
      </w:r>
      <w:r w:rsidRPr="002B01F6">
        <w:rPr>
          <w:rStyle w:val="Gl"/>
          <w:rFonts w:ascii="Times New Roman" w:hAnsi="Times New Roman" w:cs="Times New Roman"/>
          <w:b w:val="0"/>
          <w:bCs w:val="0"/>
        </w:rPr>
        <w:t>significant</w:t>
      </w:r>
      <w:r w:rsidRPr="002B01F6">
        <w:rPr>
          <w:rFonts w:ascii="Times New Roman" w:hAnsi="Times New Roman" w:cs="Times New Roman"/>
        </w:rPr>
        <w:t xml:space="preserve"> and socially meaningful (Grant, 2008). Self</w:t>
      </w:r>
      <w:r w:rsidRPr="002B01F6">
        <w:rPr>
          <w:rFonts w:ascii="Times New Roman" w:hAnsi="Times New Roman" w:cs="Times New Roman"/>
        </w:rPr>
        <w:noBreakHyphen/>
        <w:t xml:space="preserve">determination theory adds that </w:t>
      </w:r>
      <w:r w:rsidRPr="002B01F6">
        <w:rPr>
          <w:rStyle w:val="Gl"/>
          <w:rFonts w:ascii="Times New Roman" w:hAnsi="Times New Roman" w:cs="Times New Roman"/>
        </w:rPr>
        <w:t>competence</w:t>
      </w:r>
      <w:r w:rsidRPr="002B01F6">
        <w:rPr>
          <w:rFonts w:ascii="Times New Roman" w:hAnsi="Times New Roman" w:cs="Times New Roman"/>
        </w:rPr>
        <w:t xml:space="preserve"> and </w:t>
      </w:r>
      <w:r w:rsidRPr="002B01F6">
        <w:rPr>
          <w:rStyle w:val="Gl"/>
          <w:rFonts w:ascii="Times New Roman" w:hAnsi="Times New Roman" w:cs="Times New Roman"/>
          <w:b w:val="0"/>
          <w:bCs w:val="0"/>
        </w:rPr>
        <w:t>autonomy</w:t>
      </w:r>
      <w:r w:rsidRPr="002B01F6">
        <w:rPr>
          <w:rFonts w:ascii="Times New Roman" w:hAnsi="Times New Roman" w:cs="Times New Roman"/>
        </w:rPr>
        <w:t xml:space="preserve"> are fundamental needs; when satisfied, they foster </w:t>
      </w:r>
      <w:proofErr w:type="spellStart"/>
      <w:r w:rsidRPr="002B01F6">
        <w:rPr>
          <w:rFonts w:ascii="Times New Roman" w:hAnsi="Times New Roman" w:cs="Times New Roman"/>
        </w:rPr>
        <w:t>internalisation</w:t>
      </w:r>
      <w:proofErr w:type="spellEnd"/>
      <w:r w:rsidRPr="002B01F6">
        <w:rPr>
          <w:rFonts w:ascii="Times New Roman" w:hAnsi="Times New Roman" w:cs="Times New Roman"/>
        </w:rPr>
        <w:t xml:space="preserve"> of values and promote self</w:t>
      </w:r>
      <w:r w:rsidRPr="002B01F6">
        <w:rPr>
          <w:rFonts w:ascii="Times New Roman" w:hAnsi="Times New Roman" w:cs="Times New Roman"/>
        </w:rPr>
        <w:noBreakHyphen/>
        <w:t xml:space="preserve">regulated </w:t>
      </w:r>
      <w:proofErr w:type="spellStart"/>
      <w:r w:rsidRPr="002B01F6">
        <w:rPr>
          <w:rFonts w:ascii="Times New Roman" w:hAnsi="Times New Roman" w:cs="Times New Roman"/>
        </w:rPr>
        <w:t>behaviour</w:t>
      </w:r>
      <w:proofErr w:type="spellEnd"/>
      <w:r w:rsidRPr="002B01F6">
        <w:rPr>
          <w:rFonts w:ascii="Times New Roman" w:hAnsi="Times New Roman" w:cs="Times New Roman"/>
        </w:rPr>
        <w:t xml:space="preserve"> (Deci &amp; Ryan, 2000; Niemiec &amp; Ryan, 2009). Classroom and training contexts that support these needs are consistently associated with higher motivation and performance (Jang et al., 2010).</w:t>
      </w:r>
    </w:p>
    <w:p w14:paraId="2E28E623" w14:textId="12419591" w:rsidR="00472C8B" w:rsidRPr="002B01F6" w:rsidRDefault="00472C8B" w:rsidP="002B01F6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2B01F6">
        <w:rPr>
          <w:rFonts w:ascii="Times New Roman" w:hAnsi="Times New Roman" w:cs="Times New Roman"/>
        </w:rPr>
        <w:t xml:space="preserve">For </w:t>
      </w:r>
      <w:r w:rsidRPr="002B01F6">
        <w:rPr>
          <w:rStyle w:val="Gl"/>
          <w:rFonts w:ascii="Times New Roman" w:hAnsi="Times New Roman" w:cs="Times New Roman"/>
          <w:b w:val="0"/>
          <w:bCs w:val="0"/>
        </w:rPr>
        <w:t xml:space="preserve">sustainable </w:t>
      </w:r>
      <w:proofErr w:type="spellStart"/>
      <w:r w:rsidRPr="002B01F6">
        <w:rPr>
          <w:rStyle w:val="Gl"/>
          <w:rFonts w:ascii="Times New Roman" w:hAnsi="Times New Roman" w:cs="Times New Roman"/>
          <w:b w:val="0"/>
          <w:bCs w:val="0"/>
        </w:rPr>
        <w:t>behaviour</w:t>
      </w:r>
      <w:proofErr w:type="spellEnd"/>
      <w:r w:rsidRPr="002B01F6">
        <w:rPr>
          <w:rFonts w:ascii="Times New Roman" w:hAnsi="Times New Roman" w:cs="Times New Roman"/>
          <w:b/>
          <w:bCs/>
        </w:rPr>
        <w:t>,</w:t>
      </w:r>
      <w:r w:rsidRPr="002B01F6">
        <w:rPr>
          <w:rFonts w:ascii="Times New Roman" w:hAnsi="Times New Roman" w:cs="Times New Roman"/>
        </w:rPr>
        <w:t xml:space="preserve"> the Theory of Planned Behavior highlights</w:t>
      </w:r>
      <w:r w:rsidRPr="002B01F6">
        <w:rPr>
          <w:rFonts w:ascii="Times New Roman" w:hAnsi="Times New Roman" w:cs="Times New Roman"/>
          <w:b/>
          <w:bCs/>
        </w:rPr>
        <w:t xml:space="preserve"> </w:t>
      </w:r>
      <w:r w:rsidRPr="002B01F6">
        <w:rPr>
          <w:rStyle w:val="Gl"/>
          <w:rFonts w:ascii="Times New Roman" w:hAnsi="Times New Roman" w:cs="Times New Roman"/>
          <w:b w:val="0"/>
          <w:bCs w:val="0"/>
        </w:rPr>
        <w:t xml:space="preserve">perceived </w:t>
      </w:r>
      <w:proofErr w:type="spellStart"/>
      <w:r w:rsidRPr="002B01F6">
        <w:rPr>
          <w:rStyle w:val="Gl"/>
          <w:rFonts w:ascii="Times New Roman" w:hAnsi="Times New Roman" w:cs="Times New Roman"/>
          <w:b w:val="0"/>
          <w:bCs w:val="0"/>
        </w:rPr>
        <w:t>behavioural</w:t>
      </w:r>
      <w:proofErr w:type="spellEnd"/>
      <w:r w:rsidRPr="002B01F6">
        <w:rPr>
          <w:rStyle w:val="Gl"/>
          <w:rFonts w:ascii="Times New Roman" w:hAnsi="Times New Roman" w:cs="Times New Roman"/>
          <w:b w:val="0"/>
          <w:bCs w:val="0"/>
        </w:rPr>
        <w:t xml:space="preserve"> control/competence</w:t>
      </w:r>
      <w:r w:rsidRPr="002B01F6">
        <w:rPr>
          <w:rFonts w:ascii="Times New Roman" w:hAnsi="Times New Roman" w:cs="Times New Roman"/>
        </w:rPr>
        <w:t xml:space="preserve"> as a proximal determinant of action (Ajzen, 1991), a finding reinforced by meta</w:t>
      </w:r>
      <w:r w:rsidRPr="002B01F6">
        <w:rPr>
          <w:rFonts w:ascii="Times New Roman" w:hAnsi="Times New Roman" w:cs="Times New Roman"/>
        </w:rPr>
        <w:noBreakHyphen/>
        <w:t xml:space="preserve">analyses showing strong roles for control beliefs alongside intentions and norms (Bamberg &amp; </w:t>
      </w:r>
      <w:proofErr w:type="spellStart"/>
      <w:r w:rsidRPr="002B01F6">
        <w:rPr>
          <w:rFonts w:ascii="Times New Roman" w:hAnsi="Times New Roman" w:cs="Times New Roman"/>
        </w:rPr>
        <w:t>Möser</w:t>
      </w:r>
      <w:proofErr w:type="spellEnd"/>
      <w:r w:rsidRPr="002B01F6">
        <w:rPr>
          <w:rFonts w:ascii="Times New Roman" w:hAnsi="Times New Roman" w:cs="Times New Roman"/>
        </w:rPr>
        <w:t>, 2007; Klöckner, 2013). Moral</w:t>
      </w:r>
      <w:r w:rsidRPr="002B01F6">
        <w:rPr>
          <w:rFonts w:ascii="Times New Roman" w:hAnsi="Times New Roman" w:cs="Times New Roman"/>
        </w:rPr>
        <w:noBreakHyphen/>
        <w:t xml:space="preserve">psychological perspectives </w:t>
      </w:r>
      <w:proofErr w:type="spellStart"/>
      <w:r w:rsidRPr="002B01F6">
        <w:rPr>
          <w:rFonts w:ascii="Times New Roman" w:hAnsi="Times New Roman" w:cs="Times New Roman"/>
        </w:rPr>
        <w:t>emphasise</w:t>
      </w:r>
      <w:proofErr w:type="spellEnd"/>
      <w:r w:rsidRPr="002B01F6">
        <w:rPr>
          <w:rFonts w:ascii="Times New Roman" w:hAnsi="Times New Roman" w:cs="Times New Roman"/>
        </w:rPr>
        <w:t xml:space="preserve"> </w:t>
      </w:r>
      <w:r w:rsidRPr="002B01F6">
        <w:rPr>
          <w:rStyle w:val="Gl"/>
          <w:rFonts w:ascii="Times New Roman" w:hAnsi="Times New Roman" w:cs="Times New Roman"/>
          <w:b w:val="0"/>
          <w:bCs w:val="0"/>
        </w:rPr>
        <w:t>moral orientation</w:t>
      </w:r>
      <w:r w:rsidR="002B01F6" w:rsidRPr="002B01F6">
        <w:rPr>
          <w:rFonts w:ascii="Times New Roman" w:hAnsi="Times New Roman" w:cs="Times New Roman"/>
        </w:rPr>
        <w:t xml:space="preserve">, </w:t>
      </w:r>
      <w:r w:rsidRPr="002B01F6">
        <w:rPr>
          <w:rFonts w:ascii="Times New Roman" w:hAnsi="Times New Roman" w:cs="Times New Roman"/>
        </w:rPr>
        <w:t>including moral identity, personal norms, and environmental self</w:t>
      </w:r>
      <w:r w:rsidRPr="002B01F6">
        <w:rPr>
          <w:rFonts w:ascii="Times New Roman" w:hAnsi="Times New Roman" w:cs="Times New Roman"/>
        </w:rPr>
        <w:noBreakHyphen/>
        <w:t>identity</w:t>
      </w:r>
      <w:r w:rsidR="002B01F6" w:rsidRPr="002B01F6">
        <w:rPr>
          <w:rFonts w:ascii="Times New Roman" w:hAnsi="Times New Roman" w:cs="Times New Roman"/>
        </w:rPr>
        <w:t xml:space="preserve">, </w:t>
      </w:r>
      <w:r w:rsidRPr="002B01F6">
        <w:rPr>
          <w:rFonts w:ascii="Times New Roman" w:hAnsi="Times New Roman" w:cs="Times New Roman"/>
        </w:rPr>
        <w:t>as an additional driver of pro</w:t>
      </w:r>
      <w:r w:rsidRPr="002B01F6">
        <w:rPr>
          <w:rFonts w:ascii="Times New Roman" w:hAnsi="Times New Roman" w:cs="Times New Roman"/>
        </w:rPr>
        <w:noBreakHyphen/>
        <w:t>social and pro</w:t>
      </w:r>
      <w:r w:rsidRPr="002B01F6">
        <w:rPr>
          <w:rFonts w:ascii="Times New Roman" w:hAnsi="Times New Roman" w:cs="Times New Roman"/>
        </w:rPr>
        <w:noBreakHyphen/>
        <w:t xml:space="preserve">environmental choices (Aquino &amp; Reed, 2002; Stern, 2000; van der Werff et al., 2013). Reviews integrating these traditions suggest that while moral motives matter, </w:t>
      </w:r>
      <w:r w:rsidRPr="002B01F6">
        <w:rPr>
          <w:rStyle w:val="Gl"/>
          <w:rFonts w:ascii="Times New Roman" w:hAnsi="Times New Roman" w:cs="Times New Roman"/>
        </w:rPr>
        <w:t>capability and perceived control</w:t>
      </w:r>
      <w:r w:rsidRPr="002B01F6">
        <w:rPr>
          <w:rFonts w:ascii="Times New Roman" w:hAnsi="Times New Roman" w:cs="Times New Roman"/>
        </w:rPr>
        <w:t xml:space="preserve"> often dominate for frequent, lower</w:t>
      </w:r>
      <w:r w:rsidRPr="002B01F6">
        <w:rPr>
          <w:rFonts w:ascii="Times New Roman" w:hAnsi="Times New Roman" w:cs="Times New Roman"/>
        </w:rPr>
        <w:noBreakHyphen/>
        <w:t>cost environmental actions, with moral factors exerting stronger influence on high</w:t>
      </w:r>
      <w:r w:rsidRPr="002B01F6">
        <w:rPr>
          <w:rFonts w:ascii="Times New Roman" w:hAnsi="Times New Roman" w:cs="Times New Roman"/>
        </w:rPr>
        <w:noBreakHyphen/>
        <w:t>cost or identity</w:t>
      </w:r>
      <w:r w:rsidRPr="002B01F6">
        <w:rPr>
          <w:rFonts w:ascii="Times New Roman" w:hAnsi="Times New Roman" w:cs="Times New Roman"/>
        </w:rPr>
        <w:noBreakHyphen/>
        <w:t xml:space="preserve">relevant domains (Gifford &amp; Nilsson, 2014). Taken together, theory and evidence motivate our serial pathway in which learning value enhances competence/autonomy, which strengthens moral orientation, culminating in sustainable </w:t>
      </w:r>
      <w:proofErr w:type="spellStart"/>
      <w:r w:rsidRPr="002B01F6">
        <w:rPr>
          <w:rFonts w:ascii="Times New Roman" w:hAnsi="Times New Roman" w:cs="Times New Roman"/>
        </w:rPr>
        <w:t>behaviour</w:t>
      </w:r>
      <w:proofErr w:type="spellEnd"/>
      <w:r w:rsidRPr="002B01F6">
        <w:rPr>
          <w:rFonts w:ascii="Times New Roman" w:hAnsi="Times New Roman" w:cs="Times New Roman"/>
        </w:rPr>
        <w:t xml:space="preserve">—an architecture that aligns educational design with </w:t>
      </w:r>
      <w:proofErr w:type="spellStart"/>
      <w:r w:rsidRPr="002B01F6">
        <w:rPr>
          <w:rFonts w:ascii="Times New Roman" w:hAnsi="Times New Roman" w:cs="Times New Roman"/>
        </w:rPr>
        <w:t>organisational</w:t>
      </w:r>
      <w:proofErr w:type="spellEnd"/>
      <w:r w:rsidRPr="002B01F6">
        <w:rPr>
          <w:rFonts w:ascii="Times New Roman" w:hAnsi="Times New Roman" w:cs="Times New Roman"/>
        </w:rPr>
        <w:t xml:space="preserve"> ethics and sustainability outcomes (Ones &amp; </w:t>
      </w:r>
      <w:proofErr w:type="spellStart"/>
      <w:r w:rsidRPr="002B01F6">
        <w:rPr>
          <w:rFonts w:ascii="Times New Roman" w:hAnsi="Times New Roman" w:cs="Times New Roman"/>
        </w:rPr>
        <w:t>Dilchert</w:t>
      </w:r>
      <w:proofErr w:type="spellEnd"/>
      <w:r w:rsidRPr="002B01F6">
        <w:rPr>
          <w:rFonts w:ascii="Times New Roman" w:hAnsi="Times New Roman" w:cs="Times New Roman"/>
        </w:rPr>
        <w:t>, 2012).</w:t>
      </w:r>
    </w:p>
    <w:p w14:paraId="2F640422" w14:textId="77777777" w:rsidR="00472C8B" w:rsidRPr="002B01F6" w:rsidRDefault="00472C8B" w:rsidP="00472C8B">
      <w:pPr>
        <w:pStyle w:val="AralkYok"/>
        <w:jc w:val="both"/>
        <w:rPr>
          <w:rFonts w:ascii="Times New Roman" w:hAnsi="Times New Roman" w:cs="Times New Roman"/>
        </w:rPr>
      </w:pPr>
    </w:p>
    <w:p w14:paraId="72118BF4" w14:textId="691BADD7" w:rsidR="00472C8B" w:rsidRPr="002B01F6" w:rsidRDefault="00472C8B" w:rsidP="00472C8B">
      <w:pPr>
        <w:jc w:val="both"/>
        <w:rPr>
          <w:rFonts w:ascii="Times New Roman" w:hAnsi="Times New Roman" w:cs="Times New Roman"/>
          <w:b/>
          <w:bCs/>
        </w:rPr>
      </w:pPr>
      <w:r w:rsidRPr="002B01F6">
        <w:rPr>
          <w:rFonts w:ascii="Times New Roman" w:hAnsi="Times New Roman" w:cs="Times New Roman"/>
          <w:b/>
          <w:bCs/>
        </w:rPr>
        <w:t xml:space="preserve">References </w:t>
      </w:r>
      <w:r w:rsidRPr="002B01F6">
        <w:rPr>
          <w:rFonts w:ascii="Times New Roman" w:hAnsi="Times New Roman" w:cs="Times New Roman"/>
          <w:b/>
          <w:bCs/>
        </w:rPr>
        <w:t>(Short list)</w:t>
      </w:r>
    </w:p>
    <w:p w14:paraId="2632F52C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 xml:space="preserve">Ajzen, I. (1991). The theory of planned behavior. </w:t>
      </w:r>
      <w:r w:rsidRPr="002B01F6">
        <w:rPr>
          <w:rStyle w:val="Vurgu"/>
          <w:rFonts w:eastAsiaTheme="majorEastAsia"/>
          <w:lang w:val="en-US"/>
        </w:rPr>
        <w:t>Organizational Behavior and Human Decision Processes, 50</w:t>
      </w:r>
      <w:r w:rsidRPr="002B01F6">
        <w:rPr>
          <w:lang w:val="en-US"/>
        </w:rPr>
        <w:t>(2), 179–211.</w:t>
      </w:r>
    </w:p>
    <w:p w14:paraId="0BF45142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>Aquino, K., &amp; Reed, A. (2002). The self</w:t>
      </w:r>
      <w:r w:rsidRPr="002B01F6">
        <w:rPr>
          <w:lang w:val="en-US"/>
        </w:rPr>
        <w:noBreakHyphen/>
        <w:t xml:space="preserve">importance of moral identity. </w:t>
      </w:r>
      <w:r w:rsidRPr="002B01F6">
        <w:rPr>
          <w:rStyle w:val="Vurgu"/>
          <w:rFonts w:eastAsiaTheme="majorEastAsia"/>
          <w:lang w:val="en-US"/>
        </w:rPr>
        <w:t>Journal of Personality and Social Psychology, 83</w:t>
      </w:r>
      <w:r w:rsidRPr="002B01F6">
        <w:rPr>
          <w:lang w:val="en-US"/>
        </w:rPr>
        <w:t>(6), 1423–1440. https://doi.org/10.1037/0022-3514.83.6.1423</w:t>
      </w:r>
    </w:p>
    <w:p w14:paraId="36DE1443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 xml:space="preserve">Bamberg, S., &amp; </w:t>
      </w:r>
      <w:proofErr w:type="spellStart"/>
      <w:r w:rsidRPr="002B01F6">
        <w:rPr>
          <w:lang w:val="en-US"/>
        </w:rPr>
        <w:t>Möser</w:t>
      </w:r>
      <w:proofErr w:type="spellEnd"/>
      <w:r w:rsidRPr="002B01F6">
        <w:rPr>
          <w:lang w:val="en-US"/>
        </w:rPr>
        <w:t>, G. (2007). Twenty years after Hines, Hungerford, and Tomera: A new meta</w:t>
      </w:r>
      <w:r w:rsidRPr="002B01F6">
        <w:rPr>
          <w:lang w:val="en-US"/>
        </w:rPr>
        <w:noBreakHyphen/>
        <w:t>analysis of psycho</w:t>
      </w:r>
      <w:r w:rsidRPr="002B01F6">
        <w:rPr>
          <w:lang w:val="en-US"/>
        </w:rPr>
        <w:noBreakHyphen/>
        <w:t>social determinants of pro</w:t>
      </w:r>
      <w:r w:rsidRPr="002B01F6">
        <w:rPr>
          <w:lang w:val="en-US"/>
        </w:rPr>
        <w:noBreakHyphen/>
        <w:t xml:space="preserve">environmental </w:t>
      </w:r>
      <w:proofErr w:type="spellStart"/>
      <w:r w:rsidRPr="002B01F6">
        <w:rPr>
          <w:lang w:val="en-US"/>
        </w:rPr>
        <w:t>behaviour</w:t>
      </w:r>
      <w:proofErr w:type="spellEnd"/>
      <w:r w:rsidRPr="002B01F6">
        <w:rPr>
          <w:lang w:val="en-US"/>
        </w:rPr>
        <w:t xml:space="preserve">. </w:t>
      </w:r>
      <w:r w:rsidRPr="002B01F6">
        <w:rPr>
          <w:rStyle w:val="Vurgu"/>
          <w:rFonts w:eastAsiaTheme="majorEastAsia"/>
          <w:lang w:val="en-US"/>
        </w:rPr>
        <w:t>Journal of Environmental Psychology, 27</w:t>
      </w:r>
      <w:r w:rsidRPr="002B01F6">
        <w:rPr>
          <w:lang w:val="en-US"/>
        </w:rPr>
        <w:t xml:space="preserve">(1), 14–25. </w:t>
      </w:r>
      <w:hyperlink r:id="rId9" w:tgtFrame="_new" w:history="1">
        <w:r w:rsidRPr="002B01F6">
          <w:rPr>
            <w:rStyle w:val="Kpr"/>
            <w:rFonts w:eastAsiaTheme="majorEastAsia"/>
            <w:lang w:val="en-US"/>
          </w:rPr>
          <w:t>https://doi.org/10.1016/j.jenvp.2006.12.002</w:t>
        </w:r>
      </w:hyperlink>
    </w:p>
    <w:p w14:paraId="00BC2C87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>Deci, E. L., &amp; Ryan, R. M. (2000). The “what” and “why” of goal pursuits: Human needs and the self</w:t>
      </w:r>
      <w:r w:rsidRPr="002B01F6">
        <w:rPr>
          <w:lang w:val="en-US"/>
        </w:rPr>
        <w:noBreakHyphen/>
        <w:t xml:space="preserve">determination of behavior. </w:t>
      </w:r>
      <w:r w:rsidRPr="002B01F6">
        <w:rPr>
          <w:rStyle w:val="Vurgu"/>
          <w:rFonts w:eastAsiaTheme="majorEastAsia"/>
          <w:lang w:val="en-US"/>
        </w:rPr>
        <w:t>Psychological Inquiry, 11</w:t>
      </w:r>
      <w:r w:rsidRPr="002B01F6">
        <w:rPr>
          <w:lang w:val="en-US"/>
        </w:rPr>
        <w:t xml:space="preserve">(4), 227–268. </w:t>
      </w:r>
      <w:hyperlink r:id="rId10" w:tgtFrame="_new" w:history="1">
        <w:r w:rsidRPr="002B01F6">
          <w:rPr>
            <w:rStyle w:val="Kpr"/>
            <w:rFonts w:eastAsiaTheme="majorEastAsia"/>
            <w:lang w:val="en-US"/>
          </w:rPr>
          <w:t>https://doi.org/10.1207/S15327965PLI1104_01</w:t>
        </w:r>
      </w:hyperlink>
    </w:p>
    <w:p w14:paraId="4E04F6E2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 xml:space="preserve">Eccles, J. S., &amp; Wigfield, A. (2002). Motivational beliefs, values, and goals. </w:t>
      </w:r>
      <w:r w:rsidRPr="002B01F6">
        <w:rPr>
          <w:rStyle w:val="Vurgu"/>
          <w:rFonts w:eastAsiaTheme="majorEastAsia"/>
          <w:lang w:val="en-US"/>
        </w:rPr>
        <w:t>Annual Review of Psychology, 53</w:t>
      </w:r>
      <w:r w:rsidRPr="002B01F6">
        <w:rPr>
          <w:lang w:val="en-US"/>
        </w:rPr>
        <w:t>, 109–132. https://doi.org/10.1146/annurev.psych.53.100901.135153</w:t>
      </w:r>
    </w:p>
    <w:p w14:paraId="2F800CA7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>Gifford, R., &amp; Nilsson, A. (2014). Personal and social factors that influence pro</w:t>
      </w:r>
      <w:r w:rsidRPr="002B01F6">
        <w:rPr>
          <w:lang w:val="en-US"/>
        </w:rPr>
        <w:noBreakHyphen/>
        <w:t xml:space="preserve">environmental concern and </w:t>
      </w:r>
      <w:proofErr w:type="spellStart"/>
      <w:r w:rsidRPr="002B01F6">
        <w:rPr>
          <w:lang w:val="en-US"/>
        </w:rPr>
        <w:t>behaviour</w:t>
      </w:r>
      <w:proofErr w:type="spellEnd"/>
      <w:r w:rsidRPr="002B01F6">
        <w:rPr>
          <w:lang w:val="en-US"/>
        </w:rPr>
        <w:t xml:space="preserve">: A review. </w:t>
      </w:r>
      <w:r w:rsidRPr="002B01F6">
        <w:rPr>
          <w:rStyle w:val="Vurgu"/>
          <w:rFonts w:eastAsiaTheme="majorEastAsia"/>
          <w:lang w:val="en-US"/>
        </w:rPr>
        <w:t>International Journal of Psychology, 49</w:t>
      </w:r>
      <w:r w:rsidRPr="002B01F6">
        <w:rPr>
          <w:lang w:val="en-US"/>
        </w:rPr>
        <w:t xml:space="preserve">(3), 141–157. </w:t>
      </w:r>
      <w:hyperlink r:id="rId11" w:tgtFrame="_new" w:history="1">
        <w:r w:rsidRPr="002B01F6">
          <w:rPr>
            <w:rStyle w:val="Kpr"/>
            <w:rFonts w:eastAsiaTheme="majorEastAsia"/>
            <w:lang w:val="en-US"/>
          </w:rPr>
          <w:t>https://doi.org/10.1002/ijop.12034</w:t>
        </w:r>
      </w:hyperlink>
    </w:p>
    <w:p w14:paraId="5E722BB9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 xml:space="preserve">Grant, A. M. (2008). The significance of task significance: Job performance effects, relational mechanisms, and boundary conditions. </w:t>
      </w:r>
      <w:r w:rsidRPr="002B01F6">
        <w:rPr>
          <w:rStyle w:val="Vurgu"/>
          <w:rFonts w:eastAsiaTheme="majorEastAsia"/>
          <w:lang w:val="en-US"/>
        </w:rPr>
        <w:t>Journal of Applied Psychology, 93</w:t>
      </w:r>
      <w:r w:rsidRPr="002B01F6">
        <w:rPr>
          <w:lang w:val="en-US"/>
        </w:rPr>
        <w:t>(1), 108–124. https://doi.org/10.1037/0021-9010.93.1.108</w:t>
      </w:r>
    </w:p>
    <w:p w14:paraId="5D0435DE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 xml:space="preserve">Jang, H., Reeve, J., &amp; Deci, E. L. (2010). Engaging students in learning activities: It is not autonomy support or structure but autonomy support and structure. </w:t>
      </w:r>
      <w:r w:rsidRPr="002B01F6">
        <w:rPr>
          <w:rStyle w:val="Vurgu"/>
          <w:rFonts w:eastAsiaTheme="majorEastAsia"/>
          <w:lang w:val="en-US"/>
        </w:rPr>
        <w:t>Journal of Educational Psychology, 102</w:t>
      </w:r>
      <w:r w:rsidRPr="002B01F6">
        <w:rPr>
          <w:lang w:val="en-US"/>
        </w:rPr>
        <w:t>(3), 588–600. https://doi.org/10.1037/a0019682</w:t>
      </w:r>
    </w:p>
    <w:p w14:paraId="05936171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 xml:space="preserve">Klöckner, C. A. (2013). A comprehensive model of the psychology of environmental </w:t>
      </w:r>
      <w:proofErr w:type="spellStart"/>
      <w:r w:rsidRPr="002B01F6">
        <w:rPr>
          <w:lang w:val="en-US"/>
        </w:rPr>
        <w:t>behaviour</w:t>
      </w:r>
      <w:proofErr w:type="spellEnd"/>
      <w:r w:rsidRPr="002B01F6">
        <w:rPr>
          <w:lang w:val="en-US"/>
        </w:rPr>
        <w:t>—A meta</w:t>
      </w:r>
      <w:r w:rsidRPr="002B01F6">
        <w:rPr>
          <w:lang w:val="en-US"/>
        </w:rPr>
        <w:noBreakHyphen/>
        <w:t xml:space="preserve">analysis. </w:t>
      </w:r>
      <w:r w:rsidRPr="002B01F6">
        <w:rPr>
          <w:rStyle w:val="Vurgu"/>
          <w:rFonts w:eastAsiaTheme="majorEastAsia"/>
          <w:lang w:val="en-US"/>
        </w:rPr>
        <w:t>Global Environmental Change, 23</w:t>
      </w:r>
      <w:r w:rsidRPr="002B01F6">
        <w:rPr>
          <w:lang w:val="en-US"/>
        </w:rPr>
        <w:t xml:space="preserve">(5), 1028–1038. </w:t>
      </w:r>
      <w:hyperlink r:id="rId12" w:tgtFrame="_new" w:history="1">
        <w:r w:rsidRPr="002B01F6">
          <w:rPr>
            <w:rStyle w:val="Kpr"/>
            <w:rFonts w:eastAsiaTheme="majorEastAsia"/>
            <w:lang w:val="en-US"/>
          </w:rPr>
          <w:t>https://doi.org/10.1016/j.gloenvcha.2013.05.014</w:t>
        </w:r>
      </w:hyperlink>
    </w:p>
    <w:p w14:paraId="020DCCB9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lastRenderedPageBreak/>
        <w:t>Niemiec, C. P., &amp; Ryan, R. M. (2009). Autonomy, competence, and relatedness in the classroom: Applying self</w:t>
      </w:r>
      <w:r w:rsidRPr="002B01F6">
        <w:rPr>
          <w:lang w:val="en-US"/>
        </w:rPr>
        <w:noBreakHyphen/>
        <w:t xml:space="preserve">determination theory to educational practice. </w:t>
      </w:r>
      <w:r w:rsidRPr="002B01F6">
        <w:rPr>
          <w:rStyle w:val="Vurgu"/>
          <w:rFonts w:eastAsiaTheme="majorEastAsia"/>
          <w:lang w:val="en-US"/>
        </w:rPr>
        <w:t>Theory and Research in Education, 7</w:t>
      </w:r>
      <w:r w:rsidRPr="002B01F6">
        <w:rPr>
          <w:lang w:val="en-US"/>
        </w:rPr>
        <w:t xml:space="preserve">(2), 133–144. </w:t>
      </w:r>
      <w:hyperlink r:id="rId13" w:tgtFrame="_new" w:history="1">
        <w:r w:rsidRPr="002B01F6">
          <w:rPr>
            <w:rStyle w:val="Kpr"/>
            <w:rFonts w:eastAsiaTheme="majorEastAsia"/>
            <w:lang w:val="en-US"/>
          </w:rPr>
          <w:t>https://doi.org/10.1177/1477878509104318</w:t>
        </w:r>
      </w:hyperlink>
    </w:p>
    <w:p w14:paraId="6673902C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 xml:space="preserve">Ones, D. S., &amp; </w:t>
      </w:r>
      <w:proofErr w:type="spellStart"/>
      <w:r w:rsidRPr="002B01F6">
        <w:rPr>
          <w:lang w:val="en-US"/>
        </w:rPr>
        <w:t>Dilchert</w:t>
      </w:r>
      <w:proofErr w:type="spellEnd"/>
      <w:r w:rsidRPr="002B01F6">
        <w:rPr>
          <w:lang w:val="en-US"/>
        </w:rPr>
        <w:t xml:space="preserve">, S. (2012). Environmental sustainability at work: A call to action. </w:t>
      </w:r>
      <w:r w:rsidRPr="002B01F6">
        <w:rPr>
          <w:rStyle w:val="Vurgu"/>
          <w:rFonts w:eastAsiaTheme="majorEastAsia"/>
          <w:lang w:val="en-US"/>
        </w:rPr>
        <w:t>Industrial and Organizational Psychology, 5</w:t>
      </w:r>
      <w:r w:rsidRPr="002B01F6">
        <w:rPr>
          <w:lang w:val="en-US"/>
        </w:rPr>
        <w:t xml:space="preserve">(4), 444–466. </w:t>
      </w:r>
      <w:hyperlink r:id="rId14" w:tgtFrame="_new" w:history="1">
        <w:r w:rsidRPr="002B01F6">
          <w:rPr>
            <w:rStyle w:val="Kpr"/>
            <w:rFonts w:eastAsiaTheme="majorEastAsia"/>
            <w:lang w:val="en-US"/>
          </w:rPr>
          <w:t>https://doi.org/10.1111/j.1754-9434.2012.01478.x</w:t>
        </w:r>
      </w:hyperlink>
    </w:p>
    <w:p w14:paraId="7A6EE650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 xml:space="preserve">Stern, P. C. (2000). Toward a coherent theory of environmentally significant behavior. </w:t>
      </w:r>
      <w:r w:rsidRPr="002B01F6">
        <w:rPr>
          <w:rStyle w:val="Vurgu"/>
          <w:rFonts w:eastAsiaTheme="majorEastAsia"/>
          <w:lang w:val="en-US"/>
        </w:rPr>
        <w:t>Journal of Social Issues, 56</w:t>
      </w:r>
      <w:r w:rsidRPr="002B01F6">
        <w:rPr>
          <w:lang w:val="en-US"/>
        </w:rPr>
        <w:t>(3), 407–424. https://doi.org/10.1111/0022-4537.00175</w:t>
      </w:r>
    </w:p>
    <w:p w14:paraId="0B868559" w14:textId="77777777" w:rsidR="00472C8B" w:rsidRPr="002B01F6" w:rsidRDefault="00472C8B" w:rsidP="00472C8B">
      <w:pPr>
        <w:pStyle w:val="NormalWeb"/>
        <w:rPr>
          <w:lang w:val="en-US"/>
        </w:rPr>
      </w:pPr>
      <w:r w:rsidRPr="002B01F6">
        <w:rPr>
          <w:lang w:val="en-US"/>
        </w:rPr>
        <w:t>van der Werff, E., Steg, L., &amp; Keizer, K. (2013). The value of environmental self</w:t>
      </w:r>
      <w:r w:rsidRPr="002B01F6">
        <w:rPr>
          <w:lang w:val="en-US"/>
        </w:rPr>
        <w:noBreakHyphen/>
        <w:t>identity: The relationship between biospheric values, environmental self</w:t>
      </w:r>
      <w:r w:rsidRPr="002B01F6">
        <w:rPr>
          <w:lang w:val="en-US"/>
        </w:rPr>
        <w:noBreakHyphen/>
        <w:t xml:space="preserve">identity and environmental preferences, intentions and </w:t>
      </w:r>
      <w:proofErr w:type="spellStart"/>
      <w:r w:rsidRPr="002B01F6">
        <w:rPr>
          <w:lang w:val="en-US"/>
        </w:rPr>
        <w:t>behaviour</w:t>
      </w:r>
      <w:proofErr w:type="spellEnd"/>
      <w:r w:rsidRPr="002B01F6">
        <w:rPr>
          <w:lang w:val="en-US"/>
        </w:rPr>
        <w:t xml:space="preserve">. </w:t>
      </w:r>
      <w:r w:rsidRPr="002B01F6">
        <w:rPr>
          <w:rStyle w:val="Vurgu"/>
          <w:rFonts w:eastAsiaTheme="majorEastAsia"/>
          <w:lang w:val="en-US"/>
        </w:rPr>
        <w:t>Journal of Environmental Psychology, 34</w:t>
      </w:r>
      <w:r w:rsidRPr="002B01F6">
        <w:rPr>
          <w:lang w:val="en-US"/>
        </w:rPr>
        <w:t>, 55–63. https://doi.org/10.1016/j.jenvp.2012.12.006</w:t>
      </w:r>
    </w:p>
    <w:p w14:paraId="210043EA" w14:textId="77777777" w:rsidR="00543169" w:rsidRPr="002B01F6" w:rsidRDefault="00543169">
      <w:pPr>
        <w:rPr>
          <w:rFonts w:ascii="Times New Roman" w:hAnsi="Times New Roman" w:cs="Times New Roman"/>
        </w:rPr>
      </w:pPr>
    </w:p>
    <w:sectPr w:rsidR="00543169" w:rsidRPr="002B01F6" w:rsidSect="0030554C">
      <w:pgSz w:w="11920" w:h="16840"/>
      <w:pgMar w:top="1380" w:right="1123" w:bottom="280" w:left="134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923A8" w14:textId="77777777" w:rsidR="000B2A65" w:rsidRDefault="000B2A65" w:rsidP="00472C8B">
      <w:r>
        <w:separator/>
      </w:r>
    </w:p>
  </w:endnote>
  <w:endnote w:type="continuationSeparator" w:id="0">
    <w:p w14:paraId="1580C36E" w14:textId="77777777" w:rsidR="000B2A65" w:rsidRDefault="000B2A65" w:rsidP="0047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5FB9A" w14:textId="77777777" w:rsidR="000B2A65" w:rsidRDefault="000B2A65" w:rsidP="00472C8B">
      <w:r>
        <w:separator/>
      </w:r>
    </w:p>
  </w:footnote>
  <w:footnote w:type="continuationSeparator" w:id="0">
    <w:p w14:paraId="49CDA56E" w14:textId="77777777" w:rsidR="000B2A65" w:rsidRDefault="000B2A65" w:rsidP="00472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8B"/>
    <w:rsid w:val="000B2A65"/>
    <w:rsid w:val="002B01F6"/>
    <w:rsid w:val="0030554C"/>
    <w:rsid w:val="00472C8B"/>
    <w:rsid w:val="00543169"/>
    <w:rsid w:val="00C74E9A"/>
    <w:rsid w:val="00D101C1"/>
    <w:rsid w:val="00D3247F"/>
    <w:rsid w:val="00F7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E36B"/>
  <w15:chartTrackingRefBased/>
  <w15:docId w15:val="{B874D57D-3780-4049-88CD-42A2F400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472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72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2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2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72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2C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2C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2C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2C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2C8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47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2C8B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2C8B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72C8B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2C8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2C8B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2C8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2C8B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472C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2C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472C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72C8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472C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72C8B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472C8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72C8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2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2C8B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472C8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72C8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tr-TR"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472C8B"/>
    <w:rPr>
      <w:b/>
      <w:b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72C8B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72C8B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472C8B"/>
    <w:rPr>
      <w:vertAlign w:val="superscript"/>
    </w:rPr>
  </w:style>
  <w:style w:type="paragraph" w:styleId="AralkYok">
    <w:name w:val="No Spacing"/>
    <w:uiPriority w:val="1"/>
    <w:qFormat/>
    <w:rsid w:val="00472C8B"/>
    <w:rPr>
      <w:lang w:val="en-US"/>
    </w:rPr>
  </w:style>
  <w:style w:type="character" w:styleId="Kpr">
    <w:name w:val="Hyperlink"/>
    <w:basedOn w:val="VarsaylanParagrafYazTipi"/>
    <w:uiPriority w:val="99"/>
    <w:unhideWhenUsed/>
    <w:rsid w:val="00472C8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72C8B"/>
    <w:rPr>
      <w:color w:val="605E5C"/>
      <w:shd w:val="clear" w:color="auto" w:fill="E1DFDD"/>
    </w:rPr>
  </w:style>
  <w:style w:type="character" w:styleId="Vurgu">
    <w:name w:val="Emphasis"/>
    <w:basedOn w:val="VarsaylanParagrafYazTipi"/>
    <w:uiPriority w:val="20"/>
    <w:qFormat/>
    <w:rsid w:val="00472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hmet.uygur@kolegija.lt" TargetMode="External"/><Relationship Id="rId13" Type="http://schemas.openxmlformats.org/officeDocument/2006/relationships/hyperlink" Target="https://doi.org/10.1177/147787850910431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bija.skucaite@kolegija.lt" TargetMode="External"/><Relationship Id="rId12" Type="http://schemas.openxmlformats.org/officeDocument/2006/relationships/hyperlink" Target="https://doi.org/10.1016/j.gloenvcha.2013.05.0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002/ijop.1203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207/S15327965PLI1104_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envp.2006.12.002" TargetMode="External"/><Relationship Id="rId14" Type="http://schemas.openxmlformats.org/officeDocument/2006/relationships/hyperlink" Target="https://doi.org/10.1111/j.1754-9434.2012.01478.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181411-BA5A-994C-AB6E-ADD2319F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Recai Uygur</dc:creator>
  <cp:keywords/>
  <dc:description/>
  <cp:lastModifiedBy>Mehmet Recai Uygur</cp:lastModifiedBy>
  <cp:revision>1</cp:revision>
  <dcterms:created xsi:type="dcterms:W3CDTF">2025-11-05T18:06:00Z</dcterms:created>
  <dcterms:modified xsi:type="dcterms:W3CDTF">2025-11-05T18:22:00Z</dcterms:modified>
</cp:coreProperties>
</file>