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724B3" w14:textId="54F5D724" w:rsidR="005D2043" w:rsidRPr="005D2043" w:rsidRDefault="005D2043" w:rsidP="00F77CA1">
      <w:pPr>
        <w:spacing w:line="482" w:lineRule="auto"/>
        <w:ind w:left="-14" w:right="14" w:firstLine="288"/>
        <w:rPr>
          <w:b/>
          <w:bCs/>
        </w:rPr>
      </w:pPr>
      <w:r w:rsidRPr="005D2043">
        <w:rPr>
          <w:b/>
          <w:bCs/>
        </w:rPr>
        <w:t>The Pillars of Effective Online Asynchronous Course Design</w:t>
      </w:r>
    </w:p>
    <w:p w14:paraId="2094F33C" w14:textId="77777777" w:rsidR="005D2043" w:rsidRDefault="005D2043" w:rsidP="00F77CA1">
      <w:pPr>
        <w:spacing w:line="482" w:lineRule="auto"/>
        <w:ind w:left="-14" w:right="14" w:firstLine="288"/>
        <w:rPr>
          <w:b/>
          <w:bCs/>
          <w:u w:val="single"/>
        </w:rPr>
      </w:pPr>
    </w:p>
    <w:p w14:paraId="1A24E22F" w14:textId="10E79D94" w:rsidR="005D2043" w:rsidRPr="005D2043" w:rsidRDefault="005D2043" w:rsidP="00F77CA1">
      <w:pPr>
        <w:spacing w:line="482" w:lineRule="auto"/>
        <w:ind w:left="-14" w:right="14" w:firstLine="288"/>
        <w:rPr>
          <w:b/>
          <w:bCs/>
          <w:u w:val="single"/>
        </w:rPr>
      </w:pPr>
      <w:r w:rsidRPr="005D2043">
        <w:rPr>
          <w:b/>
          <w:bCs/>
          <w:u w:val="single"/>
        </w:rPr>
        <w:t>Abstract</w:t>
      </w:r>
    </w:p>
    <w:p w14:paraId="7863D37C" w14:textId="1405F374" w:rsidR="005D2043" w:rsidRDefault="005D2043" w:rsidP="00F77CA1">
      <w:pPr>
        <w:spacing w:line="482" w:lineRule="auto"/>
        <w:ind w:left="-14" w:right="14" w:firstLine="288"/>
      </w:pPr>
      <w:r w:rsidRPr="005D2043">
        <w:t>Online teaching and learning have evolved over the past two decades into a viable and respected means to higher education, with many undergraduate and graduate courses now offered in this format, both synchronously and asynchronously. With decisions involving the process, the use of self-regulated learning strategies, embedded opportunities for collaboration, use of simulations or projects, competency-tracking on progress, best teaching strategies, and more, the thought process behind the design of online courses is an important element to a successful experience for the learner. Utilizing a compilation of lessons learned from prior research and application in online, asynchronous programs, the presenter will share the key components in the design of effective online courses. Drawing on prior publications by this presenter, core elements of undergraduate and graduate online education will be explored, and participants will walk away with an improved understanding of this important and growing instructional modality.</w:t>
      </w:r>
    </w:p>
    <w:p w14:paraId="47F8617C" w14:textId="77777777" w:rsidR="005D2043" w:rsidRDefault="005D2043" w:rsidP="00F77CA1">
      <w:pPr>
        <w:spacing w:line="482" w:lineRule="auto"/>
        <w:ind w:left="-14" w:right="14" w:firstLine="288"/>
      </w:pPr>
    </w:p>
    <w:p w14:paraId="633C51A0" w14:textId="36CA7ADD" w:rsidR="005D2043" w:rsidRPr="005D2043" w:rsidRDefault="005D2043" w:rsidP="00F77CA1">
      <w:pPr>
        <w:spacing w:line="482" w:lineRule="auto"/>
        <w:ind w:left="-14" w:right="14" w:firstLine="288"/>
        <w:rPr>
          <w:b/>
          <w:bCs/>
          <w:u w:val="single"/>
        </w:rPr>
      </w:pPr>
      <w:r w:rsidRPr="005D2043">
        <w:rPr>
          <w:b/>
          <w:bCs/>
          <w:u w:val="single"/>
        </w:rPr>
        <w:t>Oral Presentation Proposal</w:t>
      </w:r>
    </w:p>
    <w:p w14:paraId="49ADA2A5" w14:textId="28B5227A" w:rsidR="00F77CA1" w:rsidRDefault="00F77CA1" w:rsidP="00F77CA1">
      <w:pPr>
        <w:spacing w:line="482" w:lineRule="auto"/>
        <w:ind w:left="-14" w:right="14" w:firstLine="288"/>
      </w:pPr>
      <w:r>
        <w:t xml:space="preserve">Online teaching and learning </w:t>
      </w:r>
      <w:r>
        <w:t>have</w:t>
      </w:r>
      <w:r>
        <w:t xml:space="preserve"> evolved over the past two decades into a viable and respected means to higher education, with many undergraduate and graduate courses now offered in this format</w:t>
      </w:r>
      <w:r>
        <w:t>, both synchronously and asynchronously</w:t>
      </w:r>
      <w:r>
        <w:t xml:space="preserve">. While the popularity of online coursework has resulted in increased online enrollment and offerings, the course design, strategy selection, student workload and learning relevance </w:t>
      </w:r>
      <w:r>
        <w:t xml:space="preserve">may, at times, </w:t>
      </w:r>
      <w:proofErr w:type="gramStart"/>
      <w:r>
        <w:t>lag</w:t>
      </w:r>
      <w:r>
        <w:t xml:space="preserve"> behind</w:t>
      </w:r>
      <w:proofErr w:type="gramEnd"/>
      <w:r>
        <w:t xml:space="preserve"> in comparison. As additional research becomes available into how to motivate and engage the online learner and how to best prepare online courses for optimum student success, </w:t>
      </w:r>
      <w:r>
        <w:t>institutions of higher education</w:t>
      </w:r>
      <w:r>
        <w:t xml:space="preserve"> </w:t>
      </w:r>
      <w:r>
        <w:lastRenderedPageBreak/>
        <w:t xml:space="preserve">may be faced with opportunities to </w:t>
      </w:r>
      <w:r>
        <w:t xml:space="preserve">build new online courses or to </w:t>
      </w:r>
      <w:r>
        <w:t xml:space="preserve">redesign already existing online courses to best meet the research-based advances of online teaching and learning. </w:t>
      </w:r>
    </w:p>
    <w:p w14:paraId="7B8E3D71" w14:textId="77777777" w:rsidR="00F77CA1" w:rsidRDefault="00F77CA1" w:rsidP="00F77CA1">
      <w:pPr>
        <w:spacing w:line="482" w:lineRule="auto"/>
        <w:ind w:left="-14" w:right="14" w:firstLine="288"/>
      </w:pPr>
      <w:r>
        <w:t>With decisions involving the process, the use of self-regulated learning strategies, embedded opportunities for collaboration, use of simulations or projects, competency-tracking on progress, and more, the thought process behind the online course design is an important element to a successful experience for the learner.</w:t>
      </w:r>
    </w:p>
    <w:p w14:paraId="0B613B6C" w14:textId="4B1B5C83" w:rsidR="009434C6" w:rsidRDefault="009434C6" w:rsidP="00F77CA1">
      <w:pPr>
        <w:spacing w:line="482" w:lineRule="auto"/>
        <w:ind w:left="-14" w:right="14" w:firstLine="288"/>
      </w:pPr>
      <w:r>
        <w:t>Utilizing a compilation of lessons learned from prior research and application in online, asynchronous programs, the presenter will share the key components in the design of effective online courses. Drawing on prior publications</w:t>
      </w:r>
      <w:r w:rsidR="00F77CA1">
        <w:t xml:space="preserve"> by this presenter</w:t>
      </w:r>
      <w:r>
        <w:t>, core elements of undergraduate and graduate online education will be explored, and participants will walk away with an improved understanding of this important and growing instructional modality.</w:t>
      </w:r>
    </w:p>
    <w:p w14:paraId="549AC900" w14:textId="77777777" w:rsidR="009434C6" w:rsidRPr="005D2043" w:rsidRDefault="009434C6" w:rsidP="009434C6">
      <w:pPr>
        <w:pStyle w:val="Default"/>
        <w:jc w:val="both"/>
        <w:rPr>
          <w:b/>
          <w:bCs/>
          <w:u w:val="single"/>
        </w:rPr>
      </w:pPr>
    </w:p>
    <w:p w14:paraId="03D4FA71" w14:textId="5C8EE47A" w:rsidR="009434C6" w:rsidRPr="005D2043" w:rsidRDefault="009434C6" w:rsidP="009434C6">
      <w:pPr>
        <w:pStyle w:val="Default"/>
        <w:jc w:val="both"/>
        <w:rPr>
          <w:b/>
          <w:bCs/>
          <w:u w:val="single"/>
        </w:rPr>
      </w:pPr>
      <w:r w:rsidRPr="005D2043">
        <w:rPr>
          <w:b/>
          <w:bCs/>
          <w:u w:val="single"/>
        </w:rPr>
        <w:t>Publications to be featured will include:</w:t>
      </w:r>
    </w:p>
    <w:p w14:paraId="4A585540" w14:textId="77777777" w:rsidR="009434C6" w:rsidRPr="00893423" w:rsidRDefault="009434C6" w:rsidP="009434C6">
      <w:pPr>
        <w:pStyle w:val="Default"/>
        <w:jc w:val="both"/>
        <w:rPr>
          <w:rFonts w:eastAsia="Times New Roman"/>
          <w:u w:val="single"/>
        </w:rPr>
      </w:pPr>
    </w:p>
    <w:p w14:paraId="5143E24A" w14:textId="77777777" w:rsidR="009434C6" w:rsidRPr="00907376" w:rsidRDefault="009434C6" w:rsidP="009434C6">
      <w:pPr>
        <w:pStyle w:val="Default"/>
        <w:jc w:val="both"/>
      </w:pPr>
      <w:r w:rsidRPr="00907376">
        <w:rPr>
          <w:b/>
          <w:bCs/>
        </w:rPr>
        <w:t>Abernathy, D. F.</w:t>
      </w:r>
      <w:r w:rsidRPr="00907376">
        <w:t xml:space="preserve"> (2020). The impact of introducing self-regulated learning strategies in online graduate studies. </w:t>
      </w:r>
      <w:r w:rsidRPr="00907376">
        <w:rPr>
          <w:i/>
          <w:iCs/>
        </w:rPr>
        <w:t xml:space="preserve">Journal for the Advancement of Educational Research (JAER), 14 </w:t>
      </w:r>
      <w:r w:rsidRPr="00907376">
        <w:t xml:space="preserve">(1). </w:t>
      </w:r>
    </w:p>
    <w:p w14:paraId="344D1F67" w14:textId="77777777" w:rsidR="009434C6" w:rsidRPr="00907376" w:rsidRDefault="009434C6" w:rsidP="009434C6">
      <w:pPr>
        <w:pStyle w:val="Default"/>
      </w:pPr>
    </w:p>
    <w:p w14:paraId="482DB6F3" w14:textId="77777777" w:rsidR="009434C6" w:rsidRPr="00907376" w:rsidRDefault="009434C6" w:rsidP="009434C6">
      <w:pPr>
        <w:pStyle w:val="Default"/>
      </w:pPr>
      <w:r w:rsidRPr="00907376">
        <w:rPr>
          <w:b/>
          <w:bCs/>
        </w:rPr>
        <w:t>Abernathy, D. F</w:t>
      </w:r>
      <w:r w:rsidRPr="00907376">
        <w:t xml:space="preserve">. (2020). ADDIE in action: A transformational course redesign process. </w:t>
      </w:r>
      <w:r w:rsidRPr="00907376">
        <w:rPr>
          <w:i/>
          <w:iCs/>
        </w:rPr>
        <w:t xml:space="preserve">Journal for the Advancement of Educational Research (JAER), 13 </w:t>
      </w:r>
      <w:r w:rsidRPr="00907376">
        <w:t xml:space="preserve">(1). </w:t>
      </w:r>
    </w:p>
    <w:p w14:paraId="1CD0712E" w14:textId="77777777" w:rsidR="009434C6" w:rsidRPr="00907376" w:rsidRDefault="009434C6" w:rsidP="009434C6">
      <w:pPr>
        <w:pStyle w:val="Default"/>
        <w:rPr>
          <w:i/>
        </w:rPr>
      </w:pPr>
    </w:p>
    <w:p w14:paraId="2D8CE074" w14:textId="77777777" w:rsidR="009434C6" w:rsidRPr="00907376" w:rsidRDefault="009434C6" w:rsidP="009434C6">
      <w:pPr>
        <w:pStyle w:val="Default"/>
      </w:pPr>
      <w:r w:rsidRPr="00907376">
        <w:t xml:space="preserve">Thornburg, A.W., </w:t>
      </w:r>
      <w:r w:rsidRPr="00907376">
        <w:rPr>
          <w:b/>
          <w:bCs/>
        </w:rPr>
        <w:t>Abernathy, D.F</w:t>
      </w:r>
      <w:r w:rsidRPr="00907376">
        <w:t xml:space="preserve">., &amp; Ceglie, R.J. (2020). </w:t>
      </w:r>
      <w:r w:rsidRPr="00907376">
        <w:rPr>
          <w:i/>
          <w:iCs/>
        </w:rPr>
        <w:t xml:space="preserve">Handbook of research on developing engaging online courses. </w:t>
      </w:r>
      <w:r w:rsidRPr="00907376">
        <w:t>Hershey, PA: IGI Global.</w:t>
      </w:r>
    </w:p>
    <w:p w14:paraId="108B8EF2" w14:textId="77777777" w:rsidR="009434C6" w:rsidRPr="00907376" w:rsidRDefault="009434C6" w:rsidP="009434C6">
      <w:pPr>
        <w:pStyle w:val="Default"/>
      </w:pPr>
    </w:p>
    <w:p w14:paraId="39035AF9" w14:textId="77777777" w:rsidR="009434C6" w:rsidRPr="00907376" w:rsidRDefault="009434C6" w:rsidP="009434C6">
      <w:pPr>
        <w:pStyle w:val="Default"/>
        <w:jc w:val="both"/>
      </w:pPr>
      <w:r w:rsidRPr="00907376">
        <w:rPr>
          <w:iCs/>
        </w:rPr>
        <w:t xml:space="preserve">Ceglie, </w:t>
      </w:r>
      <w:proofErr w:type="gramStart"/>
      <w:r w:rsidRPr="00907376">
        <w:rPr>
          <w:iCs/>
        </w:rPr>
        <w:t>R. &amp;</w:t>
      </w:r>
      <w:proofErr w:type="gramEnd"/>
      <w:r w:rsidRPr="00907376">
        <w:rPr>
          <w:iCs/>
        </w:rPr>
        <w:t xml:space="preserve"> </w:t>
      </w:r>
      <w:r w:rsidRPr="00907376">
        <w:rPr>
          <w:b/>
          <w:bCs/>
          <w:iCs/>
        </w:rPr>
        <w:t>Abernathy, D</w:t>
      </w:r>
      <w:r w:rsidRPr="00907376">
        <w:rPr>
          <w:iCs/>
        </w:rPr>
        <w:t xml:space="preserve">. (2020). The use of video as a tool for building reflective educators. </w:t>
      </w:r>
      <w:r w:rsidRPr="00907376">
        <w:rPr>
          <w:rFonts w:eastAsia="Times New Roman"/>
        </w:rPr>
        <w:t xml:space="preserve">In A.W. Thornburg, </w:t>
      </w:r>
      <w:r w:rsidRPr="00907376">
        <w:rPr>
          <w:rFonts w:eastAsia="Times New Roman"/>
          <w:b/>
          <w:bCs/>
        </w:rPr>
        <w:t xml:space="preserve">D.F. Abernathy, </w:t>
      </w:r>
      <w:r w:rsidRPr="00907376">
        <w:rPr>
          <w:rFonts w:eastAsia="Times New Roman"/>
        </w:rPr>
        <w:t>&amp;</w:t>
      </w:r>
      <w:r w:rsidRPr="00907376">
        <w:rPr>
          <w:rFonts w:eastAsia="Times New Roman"/>
          <w:b/>
          <w:bCs/>
        </w:rPr>
        <w:t xml:space="preserve"> </w:t>
      </w:r>
      <w:r w:rsidRPr="00907376">
        <w:rPr>
          <w:rFonts w:eastAsia="Times New Roman"/>
        </w:rPr>
        <w:t xml:space="preserve">R.J. Ceglie (Eds.), </w:t>
      </w:r>
      <w:r w:rsidRPr="00907376">
        <w:rPr>
          <w:i/>
          <w:iCs/>
        </w:rPr>
        <w:t xml:space="preserve">Handbook of research on developing engaging online courses. </w:t>
      </w:r>
      <w:r w:rsidRPr="00907376">
        <w:t>Hershey, PA: IGI Global.</w:t>
      </w:r>
    </w:p>
    <w:p w14:paraId="50C5DC38" w14:textId="77777777" w:rsidR="009434C6" w:rsidRPr="00907376" w:rsidRDefault="009434C6" w:rsidP="009434C6">
      <w:pPr>
        <w:pStyle w:val="Default"/>
        <w:rPr>
          <w:i/>
        </w:rPr>
      </w:pPr>
    </w:p>
    <w:p w14:paraId="3F4036A8" w14:textId="77777777" w:rsidR="009434C6" w:rsidRPr="00907376" w:rsidRDefault="009434C6" w:rsidP="009434C6">
      <w:pPr>
        <w:pStyle w:val="Default"/>
        <w:jc w:val="both"/>
      </w:pPr>
      <w:r w:rsidRPr="00907376">
        <w:rPr>
          <w:b/>
          <w:bCs/>
          <w:iCs/>
        </w:rPr>
        <w:t>Abernathy, D.F</w:t>
      </w:r>
      <w:r w:rsidRPr="00907376">
        <w:rPr>
          <w:iCs/>
        </w:rPr>
        <w:t xml:space="preserve">. &amp; Thornburg, A.W. (2020). Theory and application in the design and delivery of engaging online courses: Four key principles that drive student and instructor engagement and success. </w:t>
      </w:r>
      <w:r w:rsidRPr="00907376">
        <w:rPr>
          <w:rFonts w:eastAsia="Times New Roman"/>
        </w:rPr>
        <w:t xml:space="preserve">In A.W. Thornburg, </w:t>
      </w:r>
      <w:r w:rsidRPr="00907376">
        <w:rPr>
          <w:rFonts w:eastAsia="Times New Roman"/>
          <w:b/>
          <w:bCs/>
        </w:rPr>
        <w:t xml:space="preserve">D.F. Abernathy, </w:t>
      </w:r>
      <w:r w:rsidRPr="00907376">
        <w:rPr>
          <w:rFonts w:eastAsia="Times New Roman"/>
        </w:rPr>
        <w:t>&amp;</w:t>
      </w:r>
      <w:r w:rsidRPr="00907376">
        <w:rPr>
          <w:rFonts w:eastAsia="Times New Roman"/>
          <w:b/>
          <w:bCs/>
        </w:rPr>
        <w:t xml:space="preserve"> </w:t>
      </w:r>
      <w:r w:rsidRPr="00907376">
        <w:rPr>
          <w:rFonts w:eastAsia="Times New Roman"/>
        </w:rPr>
        <w:t xml:space="preserve">R.J. Ceglie (Eds.), </w:t>
      </w:r>
      <w:r w:rsidRPr="00907376">
        <w:rPr>
          <w:i/>
          <w:iCs/>
        </w:rPr>
        <w:t xml:space="preserve">Handbook of research on developing engaging online courses. </w:t>
      </w:r>
      <w:r w:rsidRPr="00907376">
        <w:t>Hershey, PA: IGI Global.</w:t>
      </w:r>
    </w:p>
    <w:p w14:paraId="5E709069" w14:textId="77777777" w:rsidR="009434C6" w:rsidRDefault="009434C6" w:rsidP="009434C6">
      <w:pPr>
        <w:pStyle w:val="Default"/>
        <w:jc w:val="both"/>
      </w:pPr>
    </w:p>
    <w:sectPr w:rsidR="009434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4C6"/>
    <w:rsid w:val="005D2043"/>
    <w:rsid w:val="009434C6"/>
    <w:rsid w:val="00946D20"/>
    <w:rsid w:val="009908EC"/>
    <w:rsid w:val="00AC02E0"/>
    <w:rsid w:val="00F77C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DD102"/>
  <w15:chartTrackingRefBased/>
  <w15:docId w15:val="{0C847A83-762C-4732-9B93-BBBD63A8B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CA1"/>
    <w:pPr>
      <w:spacing w:after="3" w:line="483" w:lineRule="auto"/>
      <w:ind w:left="10" w:right="5" w:hanging="10"/>
    </w:pPr>
    <w:rPr>
      <w:rFonts w:ascii="Times New Roman" w:eastAsia="Times New Roman" w:hAnsi="Times New Roman" w:cs="Times New Roman"/>
      <w:color w:val="000000"/>
    </w:rPr>
  </w:style>
  <w:style w:type="paragraph" w:styleId="Heading1">
    <w:name w:val="heading 1"/>
    <w:basedOn w:val="Normal"/>
    <w:next w:val="Normal"/>
    <w:link w:val="Heading1Char"/>
    <w:uiPriority w:val="9"/>
    <w:qFormat/>
    <w:rsid w:val="009434C6"/>
    <w:pPr>
      <w:keepNext/>
      <w:keepLines/>
      <w:spacing w:before="360" w:after="80" w:line="278" w:lineRule="auto"/>
      <w:ind w:left="0" w:right="0" w:firstLine="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34C6"/>
    <w:pPr>
      <w:keepNext/>
      <w:keepLines/>
      <w:spacing w:before="160" w:after="80" w:line="278" w:lineRule="auto"/>
      <w:ind w:left="0" w:right="0" w:firstLine="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34C6"/>
    <w:pPr>
      <w:keepNext/>
      <w:keepLines/>
      <w:spacing w:before="160" w:after="80" w:line="278" w:lineRule="auto"/>
      <w:ind w:left="0" w:right="0" w:firstLine="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34C6"/>
    <w:pPr>
      <w:keepNext/>
      <w:keepLines/>
      <w:spacing w:before="80" w:after="40" w:line="278" w:lineRule="auto"/>
      <w:ind w:left="0" w:right="0" w:firstLine="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434C6"/>
    <w:pPr>
      <w:keepNext/>
      <w:keepLines/>
      <w:spacing w:before="80" w:after="40" w:line="278" w:lineRule="auto"/>
      <w:ind w:left="0" w:right="0" w:firstLine="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434C6"/>
    <w:pPr>
      <w:keepNext/>
      <w:keepLines/>
      <w:spacing w:before="40" w:after="0" w:line="278" w:lineRule="auto"/>
      <w:ind w:left="0" w:right="0" w:firstLine="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434C6"/>
    <w:pPr>
      <w:keepNext/>
      <w:keepLines/>
      <w:spacing w:before="40" w:after="0" w:line="278" w:lineRule="auto"/>
      <w:ind w:left="0" w:right="0" w:firstLine="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434C6"/>
    <w:pPr>
      <w:keepNext/>
      <w:keepLines/>
      <w:spacing w:after="0" w:line="278" w:lineRule="auto"/>
      <w:ind w:left="0" w:right="0" w:firstLine="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434C6"/>
    <w:pPr>
      <w:keepNext/>
      <w:keepLines/>
      <w:spacing w:after="0" w:line="278" w:lineRule="auto"/>
      <w:ind w:left="0" w:right="0" w:firstLine="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34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34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34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34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34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34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34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34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34C6"/>
    <w:rPr>
      <w:rFonts w:eastAsiaTheme="majorEastAsia" w:cstheme="majorBidi"/>
      <w:color w:val="272727" w:themeColor="text1" w:themeTint="D8"/>
    </w:rPr>
  </w:style>
  <w:style w:type="paragraph" w:styleId="Title">
    <w:name w:val="Title"/>
    <w:basedOn w:val="Normal"/>
    <w:next w:val="Normal"/>
    <w:link w:val="TitleChar"/>
    <w:uiPriority w:val="10"/>
    <w:qFormat/>
    <w:rsid w:val="009434C6"/>
    <w:pPr>
      <w:spacing w:after="80" w:line="240" w:lineRule="auto"/>
      <w:ind w:left="0" w:right="0" w:firstLine="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9434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34C6"/>
    <w:pPr>
      <w:numPr>
        <w:ilvl w:val="1"/>
      </w:numPr>
      <w:spacing w:after="160" w:line="278" w:lineRule="auto"/>
      <w:ind w:right="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34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34C6"/>
    <w:pPr>
      <w:spacing w:before="160" w:after="160" w:line="278" w:lineRule="auto"/>
      <w:ind w:left="0" w:right="0" w:firstLine="0"/>
      <w:jc w:val="center"/>
    </w:pPr>
    <w:rPr>
      <w:rFonts w:asciiTheme="minorHAnsi" w:eastAsiaTheme="minorHAnsi" w:hAnsiTheme="minorHAnsi" w:cstheme="minorBidi"/>
      <w:i/>
      <w:iCs/>
      <w:color w:val="404040" w:themeColor="text1" w:themeTint="BF"/>
    </w:rPr>
  </w:style>
  <w:style w:type="character" w:customStyle="1" w:styleId="QuoteChar">
    <w:name w:val="Quote Char"/>
    <w:basedOn w:val="DefaultParagraphFont"/>
    <w:link w:val="Quote"/>
    <w:uiPriority w:val="29"/>
    <w:rsid w:val="009434C6"/>
    <w:rPr>
      <w:i/>
      <w:iCs/>
      <w:color w:val="404040" w:themeColor="text1" w:themeTint="BF"/>
    </w:rPr>
  </w:style>
  <w:style w:type="paragraph" w:styleId="ListParagraph">
    <w:name w:val="List Paragraph"/>
    <w:basedOn w:val="Normal"/>
    <w:uiPriority w:val="34"/>
    <w:qFormat/>
    <w:rsid w:val="009434C6"/>
    <w:pPr>
      <w:spacing w:after="160" w:line="278" w:lineRule="auto"/>
      <w:ind w:left="720" w:right="0" w:firstLine="0"/>
      <w:contextualSpacing/>
    </w:pPr>
    <w:rPr>
      <w:rFonts w:asciiTheme="minorHAnsi" w:eastAsiaTheme="minorHAnsi" w:hAnsiTheme="minorHAnsi" w:cstheme="minorBidi"/>
      <w:color w:val="auto"/>
    </w:rPr>
  </w:style>
  <w:style w:type="character" w:styleId="IntenseEmphasis">
    <w:name w:val="Intense Emphasis"/>
    <w:basedOn w:val="DefaultParagraphFont"/>
    <w:uiPriority w:val="21"/>
    <w:qFormat/>
    <w:rsid w:val="009434C6"/>
    <w:rPr>
      <w:i/>
      <w:iCs/>
      <w:color w:val="0F4761" w:themeColor="accent1" w:themeShade="BF"/>
    </w:rPr>
  </w:style>
  <w:style w:type="paragraph" w:styleId="IntenseQuote">
    <w:name w:val="Intense Quote"/>
    <w:basedOn w:val="Normal"/>
    <w:next w:val="Normal"/>
    <w:link w:val="IntenseQuoteChar"/>
    <w:uiPriority w:val="30"/>
    <w:qFormat/>
    <w:rsid w:val="009434C6"/>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rPr>
  </w:style>
  <w:style w:type="character" w:customStyle="1" w:styleId="IntenseQuoteChar">
    <w:name w:val="Intense Quote Char"/>
    <w:basedOn w:val="DefaultParagraphFont"/>
    <w:link w:val="IntenseQuote"/>
    <w:uiPriority w:val="30"/>
    <w:rsid w:val="009434C6"/>
    <w:rPr>
      <w:i/>
      <w:iCs/>
      <w:color w:val="0F4761" w:themeColor="accent1" w:themeShade="BF"/>
    </w:rPr>
  </w:style>
  <w:style w:type="character" w:styleId="IntenseReference">
    <w:name w:val="Intense Reference"/>
    <w:basedOn w:val="DefaultParagraphFont"/>
    <w:uiPriority w:val="32"/>
    <w:qFormat/>
    <w:rsid w:val="009434C6"/>
    <w:rPr>
      <w:b/>
      <w:bCs/>
      <w:smallCaps/>
      <w:color w:val="0F4761" w:themeColor="accent1" w:themeShade="BF"/>
      <w:spacing w:val="5"/>
    </w:rPr>
  </w:style>
  <w:style w:type="paragraph" w:customStyle="1" w:styleId="Default">
    <w:name w:val="Default"/>
    <w:rsid w:val="009434C6"/>
    <w:pPr>
      <w:autoSpaceDE w:val="0"/>
      <w:autoSpaceDN w:val="0"/>
      <w:adjustRightInd w:val="0"/>
      <w:spacing w:after="0" w:line="240" w:lineRule="auto"/>
    </w:pPr>
    <w:rPr>
      <w:rFonts w:ascii="Times New Roman" w:eastAsia="Calibri" w:hAnsi="Times New Roman" w:cs="Times New Roman"/>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572</Words>
  <Characters>3263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Dixie Abernathy</dc:creator>
  <cp:keywords/>
  <dc:description/>
  <cp:lastModifiedBy>Dixie Abernathy</cp:lastModifiedBy>
  <cp:revision>1</cp:revision>
  <dcterms:created xsi:type="dcterms:W3CDTF">2025-03-24T16:28:00Z</dcterms:created>
  <dcterms:modified xsi:type="dcterms:W3CDTF">2025-03-24T16:53:00Z</dcterms:modified>
</cp:coreProperties>
</file>