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0C1F9" w14:textId="5E7C4FCB" w:rsidR="003B7BB9" w:rsidRDefault="00092F00" w:rsidP="001A0048">
      <w:pPr>
        <w:pStyle w:val="Heading1"/>
      </w:pPr>
      <w:bookmarkStart w:id="0" w:name="_Toc188167839"/>
      <w:bookmarkStart w:id="1" w:name="_Toc188540441"/>
      <w:bookmarkStart w:id="2" w:name="_Toc498243632"/>
      <w:r w:rsidRPr="00092F00">
        <w:t>A Case Study of Post-Secondary Educators’ and Students’ Perspectives on Skills and Pedagogical Approaches to Foster Greater Academic Resilience</w:t>
      </w:r>
      <w:bookmarkEnd w:id="0"/>
      <w:bookmarkEnd w:id="1"/>
    </w:p>
    <w:p w14:paraId="340DD5C7" w14:textId="77777777" w:rsidR="001A27C9" w:rsidRPr="001A27C9" w:rsidRDefault="001A27C9" w:rsidP="001A27C9"/>
    <w:p w14:paraId="7C9D2135" w14:textId="33A174A0" w:rsidR="001A27C9" w:rsidRPr="001A27C9" w:rsidRDefault="001A27C9" w:rsidP="001A27C9">
      <w:pPr>
        <w:ind w:firstLine="0"/>
        <w:rPr>
          <w:b/>
          <w:bCs/>
        </w:rPr>
      </w:pPr>
      <w:r w:rsidRPr="001A27C9">
        <w:rPr>
          <w:b/>
          <w:bCs/>
        </w:rPr>
        <w:t>Type of Research: Research Article</w:t>
      </w:r>
    </w:p>
    <w:p w14:paraId="1F9344A1" w14:textId="77777777" w:rsidR="00CC5A8A" w:rsidRDefault="00CC5A8A" w:rsidP="00FE6E39">
      <w:pPr>
        <w:pStyle w:val="AuthorInfo"/>
        <w:tabs>
          <w:tab w:val="clear" w:pos="8640"/>
        </w:tabs>
        <w:spacing w:line="240" w:lineRule="auto"/>
        <w:rPr>
          <w:b/>
          <w:bCs/>
        </w:rPr>
      </w:pPr>
    </w:p>
    <w:p w14:paraId="6CF76D88" w14:textId="6F60CE61" w:rsidR="00C10B27" w:rsidRDefault="00CC5A8A" w:rsidP="00451D08">
      <w:pPr>
        <w:pStyle w:val="AuthorInfo"/>
        <w:tabs>
          <w:tab w:val="clear" w:pos="8640"/>
        </w:tabs>
        <w:spacing w:line="240" w:lineRule="auto"/>
        <w:ind w:firstLine="0"/>
        <w:jc w:val="left"/>
        <w:rPr>
          <w:b/>
          <w:bCs/>
        </w:rPr>
      </w:pPr>
      <w:r>
        <w:rPr>
          <w:b/>
          <w:bCs/>
        </w:rPr>
        <w:t xml:space="preserve">Author: </w:t>
      </w:r>
      <w:r w:rsidR="00B12729">
        <w:rPr>
          <w:b/>
          <w:bCs/>
        </w:rPr>
        <w:t>(</w:t>
      </w:r>
      <w:r w:rsidR="00B12729" w:rsidRPr="00B12729">
        <w:rPr>
          <w:i/>
          <w:iCs/>
        </w:rPr>
        <w:t>surname</w:t>
      </w:r>
      <w:r w:rsidR="00B12729">
        <w:rPr>
          <w:i/>
          <w:iCs/>
        </w:rPr>
        <w:t>)</w:t>
      </w:r>
      <w:r w:rsidR="00C10B27" w:rsidRPr="0084708A">
        <w:rPr>
          <w:b/>
          <w:bCs/>
        </w:rPr>
        <w:t xml:space="preserve"> Ebejer Grech</w:t>
      </w:r>
      <w:r w:rsidR="00B12729">
        <w:rPr>
          <w:b/>
          <w:bCs/>
        </w:rPr>
        <w:t xml:space="preserve"> </w:t>
      </w:r>
      <w:r w:rsidR="00B12729" w:rsidRPr="00B12729">
        <w:rPr>
          <w:i/>
          <w:iCs/>
        </w:rPr>
        <w:t>(name)</w:t>
      </w:r>
      <w:r w:rsidR="00B12729">
        <w:rPr>
          <w:b/>
          <w:bCs/>
        </w:rPr>
        <w:t xml:space="preserve"> Josephine</w:t>
      </w:r>
    </w:p>
    <w:p w14:paraId="264D3214" w14:textId="182A0E4A" w:rsidR="00B12729" w:rsidRDefault="00B12729" w:rsidP="00451D08">
      <w:pPr>
        <w:pStyle w:val="AuthorInfo"/>
        <w:tabs>
          <w:tab w:val="clear" w:pos="8640"/>
        </w:tabs>
        <w:spacing w:line="240" w:lineRule="auto"/>
        <w:ind w:firstLine="0"/>
        <w:jc w:val="left"/>
        <w:rPr>
          <w:b/>
          <w:bCs/>
        </w:rPr>
      </w:pPr>
      <w:r>
        <w:rPr>
          <w:b/>
          <w:bCs/>
        </w:rPr>
        <w:t xml:space="preserve">E-mail: </w:t>
      </w:r>
      <w:r w:rsidR="00B05EE5" w:rsidRPr="00D20D2F">
        <w:t>josephine.ebejer.grech@ilearn.edu.mt</w:t>
      </w:r>
    </w:p>
    <w:p w14:paraId="600DE28F" w14:textId="5F008114" w:rsidR="00CF29D8" w:rsidRPr="0084708A" w:rsidRDefault="00CF29D8" w:rsidP="00D20D2F">
      <w:pPr>
        <w:pStyle w:val="AuthorInfo"/>
        <w:tabs>
          <w:tab w:val="clear" w:pos="8640"/>
        </w:tabs>
        <w:spacing w:line="240" w:lineRule="auto"/>
        <w:ind w:firstLine="0"/>
        <w:jc w:val="left"/>
        <w:rPr>
          <w:b/>
          <w:bCs/>
        </w:rPr>
      </w:pPr>
      <w:r w:rsidRPr="00CF29D8">
        <w:rPr>
          <w:b/>
          <w:bCs/>
          <w:lang w:val="en-MT"/>
        </w:rPr>
        <w:t xml:space="preserve">ORCID </w:t>
      </w:r>
      <w:proofErr w:type="spellStart"/>
      <w:r w:rsidRPr="00CF29D8">
        <w:rPr>
          <w:b/>
          <w:bCs/>
          <w:lang w:val="en-MT"/>
        </w:rPr>
        <w:t>iD</w:t>
      </w:r>
      <w:proofErr w:type="spellEnd"/>
      <w:r w:rsidRPr="00CF29D8">
        <w:rPr>
          <w:b/>
          <w:bCs/>
          <w:lang w:val="en-MT"/>
        </w:rPr>
        <w:t xml:space="preserve">: </w:t>
      </w:r>
      <w:r w:rsidRPr="00D20D2F">
        <w:rPr>
          <w:lang w:val="en-MT"/>
        </w:rPr>
        <w:t>0009-0002-2113-1336</w:t>
      </w:r>
    </w:p>
    <w:p w14:paraId="6B31F536" w14:textId="77777777" w:rsidR="00C10B27" w:rsidRDefault="00C10B27" w:rsidP="00D20D2F">
      <w:pPr>
        <w:pStyle w:val="AuthorInfo"/>
        <w:tabs>
          <w:tab w:val="clear" w:pos="8640"/>
        </w:tabs>
        <w:spacing w:line="240" w:lineRule="auto"/>
        <w:ind w:firstLine="0"/>
        <w:jc w:val="left"/>
        <w:rPr>
          <w:i/>
          <w:iCs/>
          <w:sz w:val="20"/>
          <w:szCs w:val="20"/>
        </w:rPr>
      </w:pPr>
      <w:r w:rsidRPr="0084708A">
        <w:rPr>
          <w:i/>
          <w:iCs/>
          <w:sz w:val="20"/>
          <w:szCs w:val="20"/>
        </w:rPr>
        <w:t>Doctoral candidate at IDEA College Malta</w:t>
      </w:r>
    </w:p>
    <w:p w14:paraId="3C8DC0A9" w14:textId="77777777" w:rsidR="00CC5A8A" w:rsidRDefault="00CC5A8A" w:rsidP="00FE6E39">
      <w:pPr>
        <w:pStyle w:val="AuthorInfo"/>
        <w:tabs>
          <w:tab w:val="clear" w:pos="8640"/>
        </w:tabs>
        <w:spacing w:line="240" w:lineRule="auto"/>
        <w:rPr>
          <w:sz w:val="20"/>
          <w:szCs w:val="20"/>
        </w:rPr>
      </w:pPr>
    </w:p>
    <w:p w14:paraId="76991944" w14:textId="0039B769" w:rsidR="00C10B27" w:rsidRPr="0084708A" w:rsidRDefault="00C10B27" w:rsidP="002D008C">
      <w:pPr>
        <w:pStyle w:val="Heading2"/>
      </w:pPr>
      <w:r w:rsidRPr="0084708A">
        <w:t>A</w:t>
      </w:r>
      <w:bookmarkEnd w:id="2"/>
      <w:r w:rsidRPr="0084708A">
        <w:t>bstract</w:t>
      </w:r>
    </w:p>
    <w:p w14:paraId="35FCD045" w14:textId="77777777" w:rsidR="00FE6E39" w:rsidRPr="0084708A" w:rsidRDefault="00FE6E39" w:rsidP="00FE6E39"/>
    <w:p w14:paraId="777DC400" w14:textId="4C447F0A" w:rsidR="00496999" w:rsidRPr="0084708A" w:rsidRDefault="000B62A6" w:rsidP="00FE6E39">
      <w:pPr>
        <w:pStyle w:val="NormalWeb"/>
        <w:spacing w:before="0" w:beforeAutospacing="0" w:after="0" w:afterAutospacing="0"/>
      </w:pPr>
      <w:r w:rsidRPr="000B62A6">
        <w:rPr>
          <w:lang w:val="en-MT"/>
        </w:rPr>
        <w:t xml:space="preserve">This study </w:t>
      </w:r>
      <w:r w:rsidR="001E687B">
        <w:rPr>
          <w:lang w:val="en-MT"/>
        </w:rPr>
        <w:t>explores</w:t>
      </w:r>
      <w:r w:rsidRPr="000B62A6">
        <w:rPr>
          <w:lang w:val="en-MT"/>
        </w:rPr>
        <w:t xml:space="preserve"> the views of twelve post-secondary students and twelve educators </w:t>
      </w:r>
      <w:r w:rsidR="009770F8">
        <w:rPr>
          <w:lang w:val="en-MT"/>
        </w:rPr>
        <w:t xml:space="preserve">in a post-secondary school in Malta </w:t>
      </w:r>
      <w:r w:rsidRPr="000B62A6">
        <w:rPr>
          <w:lang w:val="en-MT"/>
        </w:rPr>
        <w:t xml:space="preserve">regarding the skills necessary to manage academic </w:t>
      </w:r>
      <w:r w:rsidR="00E34193">
        <w:rPr>
          <w:lang w:val="en-MT"/>
        </w:rPr>
        <w:t>stressors</w:t>
      </w:r>
      <w:r w:rsidRPr="000B62A6">
        <w:rPr>
          <w:lang w:val="en-MT"/>
        </w:rPr>
        <w:t xml:space="preserve">, particularly those stemming from workloads and deadlines. Employing a qualitative, inductive methodology, the research utilised semi-structured interviews and focus groups to identify and categorise these skills within the framework of Lazarus and Folkman’s (1984) Transactional Theory of Stress and Coping. Participants </w:t>
      </w:r>
      <w:r w:rsidR="00264590">
        <w:rPr>
          <w:lang w:val="en-MT"/>
        </w:rPr>
        <w:t>identified</w:t>
      </w:r>
      <w:r w:rsidRPr="000B62A6">
        <w:rPr>
          <w:lang w:val="en-MT"/>
        </w:rPr>
        <w:t xml:space="preserve"> problem-focused strategies including time management, problem-solving, adaptability, and self-efficacy</w:t>
      </w:r>
      <w:r w:rsidR="009770F8">
        <w:rPr>
          <w:lang w:val="en-MT"/>
        </w:rPr>
        <w:t>,</w:t>
      </w:r>
      <w:r w:rsidRPr="000B62A6">
        <w:rPr>
          <w:lang w:val="en-MT"/>
        </w:rPr>
        <w:t xml:space="preserve"> as well as emotion-focused strategies such as emotional intelligence, cognitive reframing, a growth mindset, and mindfulness. The findings </w:t>
      </w:r>
      <w:r w:rsidR="009770F8">
        <w:rPr>
          <w:lang w:val="en-MT"/>
        </w:rPr>
        <w:t>portray</w:t>
      </w:r>
      <w:r w:rsidRPr="000B62A6">
        <w:rPr>
          <w:lang w:val="en-MT"/>
        </w:rPr>
        <w:t xml:space="preserve"> the importance of </w:t>
      </w:r>
      <w:r w:rsidR="009770F8">
        <w:rPr>
          <w:lang w:val="en-MT"/>
        </w:rPr>
        <w:t>implementing</w:t>
      </w:r>
      <w:r w:rsidRPr="000B62A6">
        <w:rPr>
          <w:lang w:val="en-MT"/>
        </w:rPr>
        <w:t xml:space="preserve"> metacognitive skills within the curriculum, thereby equipping students with practical tools to build resilience and navigate academic </w:t>
      </w:r>
      <w:r w:rsidR="009770F8">
        <w:rPr>
          <w:lang w:val="en-MT"/>
        </w:rPr>
        <w:t>challenges</w:t>
      </w:r>
      <w:r w:rsidRPr="000B62A6">
        <w:rPr>
          <w:lang w:val="en-MT"/>
        </w:rPr>
        <w:t xml:space="preserve"> more effectively. In addition, the study offers practical recommendations for educators and school leaders to foster supportive educational environments that nurture both resilience and wellbeing. These insights contribute to the wider </w:t>
      </w:r>
      <w:r w:rsidR="009770F8">
        <w:rPr>
          <w:lang w:val="en-MT"/>
        </w:rPr>
        <w:t>discourse</w:t>
      </w:r>
      <w:r w:rsidRPr="000B62A6">
        <w:rPr>
          <w:lang w:val="en-MT"/>
        </w:rPr>
        <w:t xml:space="preserve"> on student support, highlighting how </w:t>
      </w:r>
      <w:r w:rsidR="00264590">
        <w:rPr>
          <w:lang w:val="en-MT"/>
        </w:rPr>
        <w:t xml:space="preserve">this </w:t>
      </w:r>
      <w:r w:rsidRPr="000B62A6">
        <w:rPr>
          <w:lang w:val="en-MT"/>
        </w:rPr>
        <w:t xml:space="preserve">Maltese post-secondary </w:t>
      </w:r>
      <w:r w:rsidR="00264590">
        <w:rPr>
          <w:lang w:val="en-MT"/>
        </w:rPr>
        <w:t>school</w:t>
      </w:r>
      <w:r w:rsidRPr="000B62A6">
        <w:rPr>
          <w:lang w:val="en-MT"/>
        </w:rPr>
        <w:t xml:space="preserve"> might better prepare learners for the rigours of higher education and the professional world. The research concludes by </w:t>
      </w:r>
      <w:r w:rsidR="009770F8">
        <w:rPr>
          <w:lang w:val="en-MT"/>
        </w:rPr>
        <w:t>recommending</w:t>
      </w:r>
      <w:r w:rsidRPr="000B62A6">
        <w:rPr>
          <w:lang w:val="en-MT"/>
        </w:rPr>
        <w:t xml:space="preserve"> future studies to investigate the long-term outcomes of resilience-building interventions in </w:t>
      </w:r>
      <w:r w:rsidR="009770F8">
        <w:rPr>
          <w:lang w:val="en-MT"/>
        </w:rPr>
        <w:t xml:space="preserve">this </w:t>
      </w:r>
      <w:r w:rsidRPr="000B62A6">
        <w:rPr>
          <w:lang w:val="en-MT"/>
        </w:rPr>
        <w:t>post-secondary setting.</w:t>
      </w:r>
    </w:p>
    <w:p w14:paraId="1649F95A" w14:textId="77777777" w:rsidR="009770F8" w:rsidRDefault="009770F8" w:rsidP="00FE6E39">
      <w:pPr>
        <w:pStyle w:val="AbstractText"/>
        <w:tabs>
          <w:tab w:val="clear" w:pos="8640"/>
        </w:tabs>
        <w:spacing w:line="240" w:lineRule="auto"/>
        <w:jc w:val="both"/>
        <w:rPr>
          <w:b/>
          <w:iCs/>
          <w:szCs w:val="24"/>
        </w:rPr>
      </w:pPr>
    </w:p>
    <w:p w14:paraId="75D6BB65" w14:textId="3446AC3A" w:rsidR="00C10B27" w:rsidRPr="0084708A" w:rsidRDefault="00C10B27" w:rsidP="00FE6E39">
      <w:pPr>
        <w:pStyle w:val="AbstractText"/>
        <w:tabs>
          <w:tab w:val="clear" w:pos="8640"/>
        </w:tabs>
        <w:spacing w:line="240" w:lineRule="auto"/>
        <w:jc w:val="both"/>
        <w:rPr>
          <w:bCs/>
          <w:iCs/>
          <w:szCs w:val="24"/>
        </w:rPr>
      </w:pPr>
      <w:r w:rsidRPr="0084708A">
        <w:rPr>
          <w:b/>
          <w:iCs/>
          <w:szCs w:val="24"/>
        </w:rPr>
        <w:t>Keywords:</w:t>
      </w:r>
      <w:r w:rsidRPr="0084708A">
        <w:rPr>
          <w:bCs/>
          <w:iCs/>
          <w:szCs w:val="24"/>
        </w:rPr>
        <w:t xml:space="preserve"> </w:t>
      </w:r>
      <w:r w:rsidR="00225367" w:rsidRPr="0084708A">
        <w:rPr>
          <w:bCs/>
          <w:iCs/>
          <w:szCs w:val="24"/>
        </w:rPr>
        <w:t xml:space="preserve">problem-focused strategies; emotion-focused strategies; </w:t>
      </w:r>
      <w:r w:rsidRPr="0084708A">
        <w:rPr>
          <w:bCs/>
          <w:iCs/>
          <w:szCs w:val="24"/>
        </w:rPr>
        <w:t xml:space="preserve">metacognition; </w:t>
      </w:r>
      <w:r w:rsidR="000C0475" w:rsidRPr="0084708A">
        <w:rPr>
          <w:bCs/>
          <w:iCs/>
          <w:szCs w:val="24"/>
        </w:rPr>
        <w:t>neuroscience</w:t>
      </w:r>
      <w:r w:rsidRPr="0084708A">
        <w:rPr>
          <w:bCs/>
          <w:iCs/>
          <w:szCs w:val="24"/>
        </w:rPr>
        <w:t xml:space="preserve">; </w:t>
      </w:r>
      <w:r w:rsidR="000C0475" w:rsidRPr="0084708A">
        <w:rPr>
          <w:bCs/>
          <w:iCs/>
          <w:szCs w:val="24"/>
        </w:rPr>
        <w:t>neuroplasticity</w:t>
      </w:r>
    </w:p>
    <w:p w14:paraId="49DFFD83" w14:textId="77777777" w:rsidR="00C10B27" w:rsidRPr="0084708A" w:rsidRDefault="00C10B27" w:rsidP="00FE6E39">
      <w:pPr>
        <w:pStyle w:val="AbstractText"/>
        <w:tabs>
          <w:tab w:val="clear" w:pos="8640"/>
        </w:tabs>
        <w:spacing w:line="240" w:lineRule="auto"/>
        <w:jc w:val="both"/>
        <w:rPr>
          <w:bCs/>
          <w:iCs/>
          <w:szCs w:val="24"/>
        </w:rPr>
      </w:pPr>
    </w:p>
    <w:p w14:paraId="310D731E" w14:textId="7B984E12" w:rsidR="00C10B27" w:rsidRPr="0084708A" w:rsidRDefault="00C10B27" w:rsidP="002D008C">
      <w:pPr>
        <w:pStyle w:val="Heading2"/>
      </w:pPr>
      <w:r w:rsidRPr="0084708A">
        <w:t>Introduction</w:t>
      </w:r>
    </w:p>
    <w:p w14:paraId="641D9BDF" w14:textId="77777777" w:rsidR="00D109AE" w:rsidRPr="0084708A" w:rsidRDefault="00D109AE" w:rsidP="00FE6E39"/>
    <w:p w14:paraId="63704E9C" w14:textId="77777777" w:rsidR="00482136" w:rsidRPr="00F22045" w:rsidRDefault="00487135" w:rsidP="00482136">
      <w:r w:rsidRPr="0084708A">
        <w:rPr>
          <w:lang w:val="en-GB" w:eastAsia="en-GB"/>
        </w:rPr>
        <w:t xml:space="preserve">This study built on a previous empirical case study that explored wellbeing among post-secondary students, guided by Bradburn’s (1969) theory of subjective wellbeing. According to Bradburn, wellbeing results from a balance between positive and negative factors. Positive factors generate </w:t>
      </w:r>
      <w:r w:rsidR="00144E91">
        <w:rPr>
          <w:lang w:val="en-GB" w:eastAsia="en-GB"/>
        </w:rPr>
        <w:t xml:space="preserve">positive </w:t>
      </w:r>
      <w:r w:rsidRPr="0084708A">
        <w:rPr>
          <w:lang w:val="en-GB" w:eastAsia="en-GB"/>
        </w:rPr>
        <w:t xml:space="preserve">emotions that enhance wellbeing, while negative factors lead to </w:t>
      </w:r>
      <w:r w:rsidR="00144E91">
        <w:rPr>
          <w:lang w:val="en-GB" w:eastAsia="en-GB"/>
        </w:rPr>
        <w:t xml:space="preserve">negative </w:t>
      </w:r>
      <w:r w:rsidRPr="0084708A">
        <w:rPr>
          <w:lang w:val="en-GB" w:eastAsia="en-GB"/>
        </w:rPr>
        <w:t xml:space="preserve">emotions that diminish it. The earlier study found that workloads and deadlines were the primary negative factors affecting students' wellbeing, with students suggesting that reducing these academic stressors would improve their overall experience (Ebejer Grech, 2024). </w:t>
      </w:r>
      <w:r w:rsidR="00482136" w:rsidRPr="00F22045">
        <w:t xml:space="preserve">However, after careful consideration and extensive reflection on the complexities of </w:t>
      </w:r>
      <w:r w:rsidR="00482136">
        <w:t>workloads, deadlines</w:t>
      </w:r>
      <w:r w:rsidR="00482136" w:rsidRPr="00F22045">
        <w:t xml:space="preserve"> and student wellbeing, it became evident that while reducing academic demands may offer temporary relief from these perceived stressors and create the illusion that the school is fostering greater wellbeing, a more holistic approach is required. Schools must consider the broader perspective</w:t>
      </w:r>
      <w:r w:rsidR="00482136">
        <w:t xml:space="preserve">, </w:t>
      </w:r>
      <w:r w:rsidR="00482136" w:rsidRPr="00F22045">
        <w:t xml:space="preserve">one that prioritises not just immediate wellbeing but also equips students with the resilience needed to navigate </w:t>
      </w:r>
      <w:r w:rsidR="00482136" w:rsidRPr="00F22045">
        <w:lastRenderedPageBreak/>
        <w:t>increasing workloads and deadlines as they transition to university, alternative higher education, or the workplace, while simultaneously fostering their own wellbeing despite these challenges. This approach ensures that students, who will eventually become the country’s workforce, are better prepared for the demands of the future. Therefore, this study aimed to identify strategies to enhance students’ resilience in managing workloads and deadlines effectively.</w:t>
      </w:r>
    </w:p>
    <w:p w14:paraId="35558391" w14:textId="6684960E" w:rsidR="006F0CA4" w:rsidRPr="00D71CB5" w:rsidRDefault="006F0CA4" w:rsidP="006F0CA4">
      <w:pPr>
        <w:rPr>
          <w:lang w:val="en-GB" w:eastAsia="en-GB"/>
        </w:rPr>
      </w:pPr>
    </w:p>
    <w:p w14:paraId="4F68D00E" w14:textId="2CA52167" w:rsidR="00487135" w:rsidRPr="0084708A" w:rsidRDefault="00487135" w:rsidP="00FE6E39">
      <w:pPr>
        <w:rPr>
          <w:lang w:val="en-GB" w:eastAsia="en-GB"/>
        </w:rPr>
      </w:pPr>
      <w:r w:rsidRPr="0084708A">
        <w:rPr>
          <w:lang w:val="en-GB" w:eastAsia="en-GB"/>
        </w:rPr>
        <w:t>A participatory research approach was central to this investigation, engaging students as key contributors who provided authentic insights into their experiences (Vaughn &amp; Jacquez, 2020). The study also incorporated educators' perspectives, acknowledging their pivotal role in shaping the educational environment and fostering students’ personal development. By integrating these viewpoints, the research sought to provide a comprehensive understanding of how the school can better equip students to navigate future academic and professional challenges.</w:t>
      </w:r>
    </w:p>
    <w:p w14:paraId="66B00263" w14:textId="77777777" w:rsidR="00C10B27" w:rsidRDefault="00C10B27" w:rsidP="000134AC">
      <w:pPr>
        <w:ind w:firstLine="0"/>
      </w:pPr>
    </w:p>
    <w:p w14:paraId="0958714D" w14:textId="6360701E" w:rsidR="00C10B27" w:rsidRPr="0084708A" w:rsidRDefault="00C10B27" w:rsidP="00890F27">
      <w:pPr>
        <w:pStyle w:val="Heading3"/>
      </w:pPr>
      <w:bookmarkStart w:id="3" w:name="_Toc188167845"/>
      <w:bookmarkStart w:id="4" w:name="_Toc188540449"/>
      <w:r w:rsidRPr="0084708A">
        <w:t>Post-Secondary Education</w:t>
      </w:r>
      <w:bookmarkEnd w:id="3"/>
      <w:bookmarkEnd w:id="4"/>
    </w:p>
    <w:p w14:paraId="3E67709E" w14:textId="77777777" w:rsidR="00D109AE" w:rsidRPr="0084708A" w:rsidRDefault="00D109AE" w:rsidP="00FE6E39"/>
    <w:p w14:paraId="557FC6E8" w14:textId="3B36C12A" w:rsidR="003929FE" w:rsidRDefault="00D109AE" w:rsidP="00FE6E39">
      <w:pPr>
        <w:rPr>
          <w:lang w:val="en-GB" w:eastAsia="en-GB"/>
          <w14:ligatures w14:val="none"/>
        </w:rPr>
      </w:pPr>
      <w:r w:rsidRPr="0084708A">
        <w:rPr>
          <w:lang w:val="en-GB" w:eastAsia="en-GB"/>
          <w14:ligatures w14:val="none"/>
        </w:rPr>
        <w:t>To better understand the workloads and deadlines identified as</w:t>
      </w:r>
      <w:r w:rsidR="00EA0883">
        <w:rPr>
          <w:lang w:val="en-GB" w:eastAsia="en-GB"/>
          <w14:ligatures w14:val="none"/>
        </w:rPr>
        <w:t xml:space="preserve"> perceived</w:t>
      </w:r>
      <w:r w:rsidRPr="0084708A">
        <w:rPr>
          <w:lang w:val="en-GB" w:eastAsia="en-GB"/>
          <w14:ligatures w14:val="none"/>
        </w:rPr>
        <w:t xml:space="preserve"> negative factors in the previous study, it is essential to consider the structure of the Matriculation </w:t>
      </w:r>
      <w:r w:rsidR="00EA0883">
        <w:rPr>
          <w:lang w:val="en-GB" w:eastAsia="en-GB"/>
          <w14:ligatures w14:val="none"/>
        </w:rPr>
        <w:t xml:space="preserve">Certificate (MC) </w:t>
      </w:r>
      <w:r w:rsidRPr="0084708A">
        <w:rPr>
          <w:lang w:val="en-GB" w:eastAsia="en-GB"/>
          <w14:ligatures w14:val="none"/>
        </w:rPr>
        <w:t xml:space="preserve">Course undertaken by Maltese post-secondary students. Typically, students select two subjects at Advanced Level </w:t>
      </w:r>
      <w:r w:rsidR="00EA0883">
        <w:rPr>
          <w:lang w:val="en-GB" w:eastAsia="en-GB"/>
          <w14:ligatures w14:val="none"/>
        </w:rPr>
        <w:t xml:space="preserve">(A-Level) </w:t>
      </w:r>
      <w:r w:rsidRPr="0084708A">
        <w:rPr>
          <w:lang w:val="en-GB" w:eastAsia="en-GB"/>
          <w14:ligatures w14:val="none"/>
        </w:rPr>
        <w:t>and three at Intermediate Level, in addition to a compulsory subject known as Systems of Knowledge</w:t>
      </w:r>
      <w:r w:rsidR="00EA0883">
        <w:rPr>
          <w:lang w:val="en-GB" w:eastAsia="en-GB"/>
          <w14:ligatures w14:val="none"/>
        </w:rPr>
        <w:t xml:space="preserve"> (SOK)</w:t>
      </w:r>
      <w:r w:rsidRPr="0084708A">
        <w:rPr>
          <w:lang w:val="en-GB" w:eastAsia="en-GB"/>
          <w14:ligatures w14:val="none"/>
        </w:rPr>
        <w:t xml:space="preserve">. The curriculum is predominantly theoretical, with practical sessions limited to just two </w:t>
      </w:r>
      <w:r w:rsidR="000754CC">
        <w:rPr>
          <w:lang w:val="en-GB" w:eastAsia="en-GB"/>
          <w14:ligatures w14:val="none"/>
        </w:rPr>
        <w:t xml:space="preserve">or few </w:t>
      </w:r>
      <w:r w:rsidRPr="0084708A">
        <w:rPr>
          <w:lang w:val="en-GB" w:eastAsia="en-GB"/>
          <w14:ligatures w14:val="none"/>
        </w:rPr>
        <w:t>hours per week and offered only in specific subjects</w:t>
      </w:r>
      <w:r w:rsidR="00EA0883">
        <w:rPr>
          <w:lang w:val="en-GB" w:eastAsia="en-GB"/>
          <w14:ligatures w14:val="none"/>
        </w:rPr>
        <w:t xml:space="preserve"> like Chemistry, Biology, Physics, </w:t>
      </w:r>
      <w:r w:rsidR="00512B84">
        <w:rPr>
          <w:lang w:val="en-GB" w:eastAsia="en-GB"/>
          <w14:ligatures w14:val="none"/>
        </w:rPr>
        <w:t>Home Economics, Art, Physical Education</w:t>
      </w:r>
      <w:r w:rsidR="000754CC">
        <w:rPr>
          <w:lang w:val="en-GB" w:eastAsia="en-GB"/>
          <w14:ligatures w14:val="none"/>
        </w:rPr>
        <w:t xml:space="preserve"> and </w:t>
      </w:r>
      <w:r w:rsidR="00260E44">
        <w:rPr>
          <w:lang w:val="en-GB" w:eastAsia="en-GB"/>
          <w14:ligatures w14:val="none"/>
        </w:rPr>
        <w:t>similar subjects</w:t>
      </w:r>
      <w:r w:rsidRPr="0084708A">
        <w:rPr>
          <w:lang w:val="en-GB" w:eastAsia="en-GB"/>
          <w14:ligatures w14:val="none"/>
        </w:rPr>
        <w:t xml:space="preserve">. As illustrated in Figure 1, which outlines the weekly timetable of a typical student, they engage with approximately </w:t>
      </w:r>
      <w:r w:rsidR="001869C4" w:rsidRPr="0084708A">
        <w:rPr>
          <w:lang w:val="en-GB" w:eastAsia="en-GB"/>
          <w14:ligatures w14:val="none"/>
        </w:rPr>
        <w:t>14</w:t>
      </w:r>
      <w:r w:rsidRPr="0084708A">
        <w:rPr>
          <w:lang w:val="en-GB" w:eastAsia="en-GB"/>
          <w14:ligatures w14:val="none"/>
        </w:rPr>
        <w:t xml:space="preserve"> teachers weekly. Each teacher assigns study material, homework, and periodic tests, contributing to a significant academic workload. This workload intensifies during major examination periods, including the half-yearly exams in February and the end-of-year exams in June, requiring students to thoroughly review all topics covered by their teachers. The demands further escalate in preparation for the final MATSEC examinations at the end of the two-year course (MEDE, 2017), underscoring the substantial academic pressures students face throughout their studies.</w:t>
      </w:r>
    </w:p>
    <w:p w14:paraId="3E2990E7" w14:textId="1FBB71F6" w:rsidR="00C10B27" w:rsidRPr="0084708A" w:rsidRDefault="003929FE" w:rsidP="00FE6E39">
      <w:pPr>
        <w:rPr>
          <w:lang w:val="en-GB" w:eastAsia="en-GB"/>
        </w:rPr>
      </w:pPr>
      <w:r>
        <w:rPr>
          <w:lang w:val="en-GB" w:eastAsia="en-GB"/>
          <w14:ligatures w14:val="none"/>
        </w:rPr>
        <w:br w:type="column"/>
      </w:r>
    </w:p>
    <w:tbl>
      <w:tblPr>
        <w:tblStyle w:val="TableGrid"/>
        <w:tblW w:w="0" w:type="auto"/>
        <w:tblLook w:val="04A0" w:firstRow="1" w:lastRow="0" w:firstColumn="1" w:lastColumn="0" w:noHBand="0" w:noVBand="1"/>
      </w:tblPr>
      <w:tblGrid>
        <w:gridCol w:w="1143"/>
        <w:gridCol w:w="1574"/>
        <w:gridCol w:w="1575"/>
        <w:gridCol w:w="1574"/>
        <w:gridCol w:w="1575"/>
        <w:gridCol w:w="1575"/>
      </w:tblGrid>
      <w:tr w:rsidR="00C10B27" w:rsidRPr="0084708A" w14:paraId="06004F26" w14:textId="77777777" w:rsidTr="002D4BE0">
        <w:tc>
          <w:tcPr>
            <w:tcW w:w="1143" w:type="dxa"/>
          </w:tcPr>
          <w:p w14:paraId="5BA8B2C7" w14:textId="77777777" w:rsidR="00C10B27" w:rsidRPr="0084708A" w:rsidRDefault="00C10B27" w:rsidP="00FE6E39">
            <w:pPr>
              <w:ind w:firstLine="0"/>
              <w:jc w:val="center"/>
              <w:rPr>
                <w:b/>
                <w:bCs/>
                <w:lang w:val="en-GB" w:eastAsia="en-GB"/>
              </w:rPr>
            </w:pPr>
            <w:r w:rsidRPr="0084708A">
              <w:rPr>
                <w:b/>
                <w:bCs/>
                <w:lang w:val="en-GB" w:eastAsia="en-GB"/>
              </w:rPr>
              <w:t>Lesson number</w:t>
            </w:r>
          </w:p>
        </w:tc>
        <w:tc>
          <w:tcPr>
            <w:tcW w:w="1574" w:type="dxa"/>
          </w:tcPr>
          <w:p w14:paraId="71DF535B" w14:textId="77777777" w:rsidR="00C10B27" w:rsidRPr="0084708A" w:rsidRDefault="00C10B27" w:rsidP="00FE6E39">
            <w:pPr>
              <w:ind w:firstLine="0"/>
              <w:jc w:val="center"/>
              <w:rPr>
                <w:b/>
                <w:bCs/>
                <w:lang w:val="en-GB" w:eastAsia="en-GB"/>
              </w:rPr>
            </w:pPr>
            <w:r w:rsidRPr="0084708A">
              <w:rPr>
                <w:b/>
                <w:bCs/>
                <w:lang w:val="en-GB" w:eastAsia="en-GB"/>
              </w:rPr>
              <w:t>Monday</w:t>
            </w:r>
          </w:p>
        </w:tc>
        <w:tc>
          <w:tcPr>
            <w:tcW w:w="1575" w:type="dxa"/>
          </w:tcPr>
          <w:p w14:paraId="1F8DCCD0" w14:textId="77777777" w:rsidR="00C10B27" w:rsidRPr="0084708A" w:rsidRDefault="00C10B27" w:rsidP="00FE6E39">
            <w:pPr>
              <w:ind w:firstLine="0"/>
              <w:jc w:val="center"/>
              <w:rPr>
                <w:b/>
                <w:bCs/>
                <w:lang w:val="en-GB" w:eastAsia="en-GB"/>
              </w:rPr>
            </w:pPr>
            <w:r w:rsidRPr="0084708A">
              <w:rPr>
                <w:b/>
                <w:bCs/>
                <w:lang w:val="en-GB" w:eastAsia="en-GB"/>
              </w:rPr>
              <w:t>Tuesday</w:t>
            </w:r>
          </w:p>
        </w:tc>
        <w:tc>
          <w:tcPr>
            <w:tcW w:w="1574" w:type="dxa"/>
          </w:tcPr>
          <w:p w14:paraId="1DF6F9B1" w14:textId="77777777" w:rsidR="00C10B27" w:rsidRPr="0084708A" w:rsidRDefault="00C10B27" w:rsidP="00FE6E39">
            <w:pPr>
              <w:ind w:firstLine="0"/>
              <w:jc w:val="center"/>
              <w:rPr>
                <w:b/>
                <w:bCs/>
                <w:lang w:val="en-GB" w:eastAsia="en-GB"/>
              </w:rPr>
            </w:pPr>
            <w:r w:rsidRPr="0084708A">
              <w:rPr>
                <w:b/>
                <w:bCs/>
                <w:lang w:val="en-GB" w:eastAsia="en-GB"/>
              </w:rPr>
              <w:t>Wednesday</w:t>
            </w:r>
          </w:p>
        </w:tc>
        <w:tc>
          <w:tcPr>
            <w:tcW w:w="1575" w:type="dxa"/>
          </w:tcPr>
          <w:p w14:paraId="26D5C2A2" w14:textId="77777777" w:rsidR="00C10B27" w:rsidRPr="0084708A" w:rsidRDefault="00C10B27" w:rsidP="00FE6E39">
            <w:pPr>
              <w:ind w:firstLine="0"/>
              <w:jc w:val="center"/>
              <w:rPr>
                <w:b/>
                <w:bCs/>
                <w:lang w:val="en-GB" w:eastAsia="en-GB"/>
              </w:rPr>
            </w:pPr>
            <w:r w:rsidRPr="0084708A">
              <w:rPr>
                <w:b/>
                <w:bCs/>
                <w:lang w:val="en-GB" w:eastAsia="en-GB"/>
              </w:rPr>
              <w:t>Thursday</w:t>
            </w:r>
          </w:p>
        </w:tc>
        <w:tc>
          <w:tcPr>
            <w:tcW w:w="1575" w:type="dxa"/>
          </w:tcPr>
          <w:p w14:paraId="719897B1" w14:textId="77777777" w:rsidR="00C10B27" w:rsidRPr="0084708A" w:rsidRDefault="00C10B27" w:rsidP="00FE6E39">
            <w:pPr>
              <w:ind w:firstLine="0"/>
              <w:jc w:val="center"/>
              <w:rPr>
                <w:b/>
                <w:bCs/>
                <w:lang w:val="en-GB" w:eastAsia="en-GB"/>
              </w:rPr>
            </w:pPr>
            <w:r w:rsidRPr="0084708A">
              <w:rPr>
                <w:b/>
                <w:bCs/>
                <w:lang w:val="en-GB" w:eastAsia="en-GB"/>
              </w:rPr>
              <w:t>Friday</w:t>
            </w:r>
          </w:p>
        </w:tc>
      </w:tr>
      <w:tr w:rsidR="00C10B27" w:rsidRPr="0084708A" w14:paraId="7FB7FE48" w14:textId="77777777" w:rsidTr="002D4BE0">
        <w:tc>
          <w:tcPr>
            <w:tcW w:w="1143" w:type="dxa"/>
          </w:tcPr>
          <w:p w14:paraId="54E9235E" w14:textId="77777777" w:rsidR="00C10B27" w:rsidRPr="0084708A" w:rsidRDefault="00C10B27" w:rsidP="00FE6E39">
            <w:pPr>
              <w:ind w:firstLine="0"/>
              <w:jc w:val="center"/>
              <w:rPr>
                <w:lang w:val="en-GB" w:eastAsia="en-GB"/>
              </w:rPr>
            </w:pPr>
            <w:r w:rsidRPr="0084708A">
              <w:rPr>
                <w:lang w:val="en-GB" w:eastAsia="en-GB"/>
              </w:rPr>
              <w:t>1</w:t>
            </w:r>
          </w:p>
        </w:tc>
        <w:tc>
          <w:tcPr>
            <w:tcW w:w="1574" w:type="dxa"/>
          </w:tcPr>
          <w:p w14:paraId="0EFEC0B1" w14:textId="77777777" w:rsidR="00C10B27" w:rsidRPr="0084708A" w:rsidRDefault="00C10B27" w:rsidP="00FE6E39">
            <w:pPr>
              <w:ind w:firstLine="0"/>
              <w:rPr>
                <w:lang w:val="en-GB" w:eastAsia="en-GB"/>
              </w:rPr>
            </w:pPr>
            <w:r w:rsidRPr="0084708A">
              <w:rPr>
                <w:lang w:val="en-GB" w:eastAsia="en-GB"/>
              </w:rPr>
              <w:t>Chemistry Teacher 1</w:t>
            </w:r>
          </w:p>
        </w:tc>
        <w:tc>
          <w:tcPr>
            <w:tcW w:w="1575" w:type="dxa"/>
          </w:tcPr>
          <w:p w14:paraId="5E32FD39" w14:textId="77777777" w:rsidR="00C10B27" w:rsidRPr="0084708A" w:rsidRDefault="00C10B27" w:rsidP="00FE6E39">
            <w:pPr>
              <w:ind w:firstLine="0"/>
              <w:rPr>
                <w:lang w:val="en-GB" w:eastAsia="en-GB"/>
              </w:rPr>
            </w:pPr>
            <w:r w:rsidRPr="0084708A">
              <w:rPr>
                <w:lang w:val="en-GB" w:eastAsia="en-GB"/>
              </w:rPr>
              <w:t>Chemistry Teacher 4</w:t>
            </w:r>
          </w:p>
        </w:tc>
        <w:tc>
          <w:tcPr>
            <w:tcW w:w="1574" w:type="dxa"/>
          </w:tcPr>
          <w:p w14:paraId="65295304" w14:textId="77777777" w:rsidR="00C10B27" w:rsidRPr="0084708A" w:rsidRDefault="00C10B27" w:rsidP="00FE6E39">
            <w:pPr>
              <w:ind w:firstLine="0"/>
              <w:rPr>
                <w:lang w:val="en-GB" w:eastAsia="en-GB"/>
              </w:rPr>
            </w:pPr>
            <w:r w:rsidRPr="0084708A">
              <w:rPr>
                <w:lang w:val="en-GB" w:eastAsia="en-GB"/>
              </w:rPr>
              <w:t>SOK Teacher 10</w:t>
            </w:r>
          </w:p>
        </w:tc>
        <w:tc>
          <w:tcPr>
            <w:tcW w:w="1575" w:type="dxa"/>
          </w:tcPr>
          <w:p w14:paraId="7D629C16" w14:textId="2B098F39" w:rsidR="00C10B27" w:rsidRPr="0084708A" w:rsidRDefault="00C10B27" w:rsidP="00FE6E39">
            <w:pPr>
              <w:ind w:firstLine="0"/>
              <w:rPr>
                <w:lang w:val="en-GB" w:eastAsia="en-GB"/>
              </w:rPr>
            </w:pPr>
            <w:r w:rsidRPr="0084708A">
              <w:rPr>
                <w:lang w:val="en-GB" w:eastAsia="en-GB"/>
              </w:rPr>
              <w:t xml:space="preserve">Biology </w:t>
            </w:r>
            <w:r w:rsidR="00D109AE" w:rsidRPr="0084708A">
              <w:rPr>
                <w:lang w:val="en-GB" w:eastAsia="en-GB"/>
              </w:rPr>
              <w:t xml:space="preserve">practical </w:t>
            </w:r>
            <w:r w:rsidRPr="0084708A">
              <w:rPr>
                <w:lang w:val="en-GB" w:eastAsia="en-GB"/>
              </w:rPr>
              <w:t>Teacher 13</w:t>
            </w:r>
          </w:p>
        </w:tc>
        <w:tc>
          <w:tcPr>
            <w:tcW w:w="1575" w:type="dxa"/>
          </w:tcPr>
          <w:p w14:paraId="4B0AFDD0" w14:textId="77777777" w:rsidR="00C10B27" w:rsidRPr="0084708A" w:rsidRDefault="00C10B27" w:rsidP="00FE6E39">
            <w:pPr>
              <w:ind w:firstLine="0"/>
              <w:rPr>
                <w:lang w:val="en-GB" w:eastAsia="en-GB"/>
              </w:rPr>
            </w:pPr>
            <w:r w:rsidRPr="0084708A">
              <w:rPr>
                <w:lang w:val="en-GB" w:eastAsia="en-GB"/>
              </w:rPr>
              <w:t>Chemistry Teacher 4</w:t>
            </w:r>
          </w:p>
        </w:tc>
      </w:tr>
      <w:tr w:rsidR="00C10B27" w:rsidRPr="0084708A" w14:paraId="02E03E5F" w14:textId="77777777" w:rsidTr="002D4BE0">
        <w:tc>
          <w:tcPr>
            <w:tcW w:w="1143" w:type="dxa"/>
          </w:tcPr>
          <w:p w14:paraId="50A31BAC" w14:textId="77777777" w:rsidR="00C10B27" w:rsidRPr="0084708A" w:rsidRDefault="00C10B27" w:rsidP="00FE6E39">
            <w:pPr>
              <w:ind w:firstLine="0"/>
              <w:jc w:val="center"/>
              <w:rPr>
                <w:lang w:val="en-GB" w:eastAsia="en-GB"/>
              </w:rPr>
            </w:pPr>
            <w:r w:rsidRPr="0084708A">
              <w:rPr>
                <w:lang w:val="en-GB" w:eastAsia="en-GB"/>
              </w:rPr>
              <w:t>2</w:t>
            </w:r>
          </w:p>
        </w:tc>
        <w:tc>
          <w:tcPr>
            <w:tcW w:w="1574" w:type="dxa"/>
          </w:tcPr>
          <w:p w14:paraId="1C6977B8" w14:textId="77777777" w:rsidR="00C10B27" w:rsidRPr="0084708A" w:rsidRDefault="00C10B27" w:rsidP="00FE6E39">
            <w:pPr>
              <w:ind w:firstLine="0"/>
              <w:rPr>
                <w:lang w:val="en-GB" w:eastAsia="en-GB"/>
              </w:rPr>
            </w:pPr>
            <w:r w:rsidRPr="0084708A">
              <w:rPr>
                <w:lang w:val="en-GB" w:eastAsia="en-GB"/>
              </w:rPr>
              <w:t>Biology Teacher 2</w:t>
            </w:r>
          </w:p>
        </w:tc>
        <w:tc>
          <w:tcPr>
            <w:tcW w:w="1575" w:type="dxa"/>
          </w:tcPr>
          <w:p w14:paraId="15228658" w14:textId="77777777" w:rsidR="00C10B27" w:rsidRPr="0084708A" w:rsidRDefault="00C10B27" w:rsidP="00FE6E39">
            <w:pPr>
              <w:ind w:firstLine="0"/>
              <w:rPr>
                <w:lang w:val="en-GB" w:eastAsia="en-GB"/>
              </w:rPr>
            </w:pPr>
            <w:r w:rsidRPr="0084708A">
              <w:rPr>
                <w:lang w:val="en-GB" w:eastAsia="en-GB"/>
              </w:rPr>
              <w:t>Biology Teacher 6</w:t>
            </w:r>
          </w:p>
        </w:tc>
        <w:tc>
          <w:tcPr>
            <w:tcW w:w="1574" w:type="dxa"/>
          </w:tcPr>
          <w:p w14:paraId="68888FCB" w14:textId="77777777" w:rsidR="00C10B27" w:rsidRPr="0084708A" w:rsidRDefault="00C10B27" w:rsidP="00FE6E39">
            <w:pPr>
              <w:ind w:firstLine="0"/>
              <w:rPr>
                <w:lang w:val="en-GB" w:eastAsia="en-GB"/>
              </w:rPr>
            </w:pPr>
            <w:r w:rsidRPr="0084708A">
              <w:rPr>
                <w:lang w:val="en-GB" w:eastAsia="en-GB"/>
              </w:rPr>
              <w:t>Chemistry Teacher 1</w:t>
            </w:r>
          </w:p>
        </w:tc>
        <w:tc>
          <w:tcPr>
            <w:tcW w:w="1575" w:type="dxa"/>
          </w:tcPr>
          <w:p w14:paraId="5A0156EE" w14:textId="496963EB" w:rsidR="00C10B27" w:rsidRPr="0084708A" w:rsidRDefault="00C10B27" w:rsidP="00FE6E39">
            <w:pPr>
              <w:ind w:firstLine="0"/>
              <w:rPr>
                <w:lang w:val="en-GB" w:eastAsia="en-GB"/>
              </w:rPr>
            </w:pPr>
            <w:r w:rsidRPr="0084708A">
              <w:rPr>
                <w:lang w:val="en-GB" w:eastAsia="en-GB"/>
              </w:rPr>
              <w:t xml:space="preserve">Biology </w:t>
            </w:r>
            <w:r w:rsidR="00D109AE" w:rsidRPr="0084708A">
              <w:rPr>
                <w:lang w:val="en-GB" w:eastAsia="en-GB"/>
              </w:rPr>
              <w:t xml:space="preserve">practical </w:t>
            </w:r>
            <w:r w:rsidRPr="0084708A">
              <w:rPr>
                <w:lang w:val="en-GB" w:eastAsia="en-GB"/>
              </w:rPr>
              <w:t>Teacher 13</w:t>
            </w:r>
          </w:p>
        </w:tc>
        <w:tc>
          <w:tcPr>
            <w:tcW w:w="1575" w:type="dxa"/>
          </w:tcPr>
          <w:p w14:paraId="0070CFCB" w14:textId="77777777" w:rsidR="00C10B27" w:rsidRPr="0084708A" w:rsidRDefault="00C10B27" w:rsidP="00FE6E39">
            <w:pPr>
              <w:ind w:firstLine="0"/>
              <w:rPr>
                <w:lang w:val="en-GB" w:eastAsia="en-GB"/>
              </w:rPr>
            </w:pPr>
            <w:r w:rsidRPr="0084708A">
              <w:rPr>
                <w:lang w:val="en-GB" w:eastAsia="en-GB"/>
              </w:rPr>
              <w:t>Biology Teacher 9</w:t>
            </w:r>
          </w:p>
        </w:tc>
      </w:tr>
      <w:tr w:rsidR="00C10B27" w:rsidRPr="0084708A" w14:paraId="18CD99CE" w14:textId="77777777" w:rsidTr="002D4BE0">
        <w:tc>
          <w:tcPr>
            <w:tcW w:w="1143" w:type="dxa"/>
          </w:tcPr>
          <w:p w14:paraId="6FC568A6" w14:textId="77777777" w:rsidR="00C10B27" w:rsidRPr="0084708A" w:rsidRDefault="00C10B27" w:rsidP="00FE6E39">
            <w:pPr>
              <w:ind w:firstLine="0"/>
              <w:jc w:val="center"/>
              <w:rPr>
                <w:lang w:val="en-GB" w:eastAsia="en-GB"/>
              </w:rPr>
            </w:pPr>
            <w:r w:rsidRPr="0084708A">
              <w:rPr>
                <w:lang w:val="en-GB" w:eastAsia="en-GB"/>
              </w:rPr>
              <w:t>3</w:t>
            </w:r>
          </w:p>
        </w:tc>
        <w:tc>
          <w:tcPr>
            <w:tcW w:w="1574" w:type="dxa"/>
          </w:tcPr>
          <w:p w14:paraId="034C9F1B" w14:textId="6346B372" w:rsidR="00C10B27" w:rsidRPr="0084708A" w:rsidRDefault="00C10B27" w:rsidP="00FE6E39">
            <w:pPr>
              <w:ind w:firstLine="0"/>
              <w:rPr>
                <w:lang w:val="en-GB" w:eastAsia="en-GB"/>
              </w:rPr>
            </w:pPr>
            <w:r w:rsidRPr="0084708A">
              <w:rPr>
                <w:lang w:val="en-GB" w:eastAsia="en-GB"/>
              </w:rPr>
              <w:t xml:space="preserve">Chemistry </w:t>
            </w:r>
            <w:r w:rsidR="00D109AE" w:rsidRPr="0084708A">
              <w:rPr>
                <w:lang w:val="en-GB" w:eastAsia="en-GB"/>
              </w:rPr>
              <w:t xml:space="preserve">practical </w:t>
            </w:r>
            <w:r w:rsidRPr="0084708A">
              <w:rPr>
                <w:lang w:val="en-GB" w:eastAsia="en-GB"/>
              </w:rPr>
              <w:t>Teacher 3</w:t>
            </w:r>
          </w:p>
        </w:tc>
        <w:tc>
          <w:tcPr>
            <w:tcW w:w="1575" w:type="dxa"/>
          </w:tcPr>
          <w:p w14:paraId="2D807E3D" w14:textId="77777777" w:rsidR="00C10B27" w:rsidRPr="0084708A" w:rsidRDefault="00C10B27" w:rsidP="00FE6E39">
            <w:pPr>
              <w:ind w:firstLine="0"/>
              <w:rPr>
                <w:lang w:val="en-GB" w:eastAsia="en-GB"/>
              </w:rPr>
            </w:pPr>
            <w:r w:rsidRPr="0084708A">
              <w:rPr>
                <w:lang w:val="en-GB" w:eastAsia="en-GB"/>
              </w:rPr>
              <w:t>SOK Teacher 7</w:t>
            </w:r>
          </w:p>
        </w:tc>
        <w:tc>
          <w:tcPr>
            <w:tcW w:w="1574" w:type="dxa"/>
          </w:tcPr>
          <w:p w14:paraId="3577C32E" w14:textId="77777777" w:rsidR="00C10B27" w:rsidRPr="0084708A" w:rsidRDefault="00C10B27" w:rsidP="00FE6E39">
            <w:pPr>
              <w:ind w:firstLine="0"/>
              <w:rPr>
                <w:lang w:val="en-GB" w:eastAsia="en-GB"/>
              </w:rPr>
            </w:pPr>
            <w:r w:rsidRPr="0084708A">
              <w:rPr>
                <w:lang w:val="en-GB" w:eastAsia="en-GB"/>
              </w:rPr>
              <w:t>Biology Teacher 2</w:t>
            </w:r>
          </w:p>
        </w:tc>
        <w:tc>
          <w:tcPr>
            <w:tcW w:w="1575" w:type="dxa"/>
          </w:tcPr>
          <w:p w14:paraId="4E877E19" w14:textId="77777777" w:rsidR="00C10B27" w:rsidRPr="0084708A" w:rsidRDefault="00C10B27" w:rsidP="00FE6E39">
            <w:pPr>
              <w:ind w:firstLine="0"/>
              <w:rPr>
                <w:lang w:val="en-GB" w:eastAsia="en-GB"/>
              </w:rPr>
            </w:pPr>
            <w:r w:rsidRPr="0084708A">
              <w:rPr>
                <w:lang w:val="en-GB" w:eastAsia="en-GB"/>
              </w:rPr>
              <w:t>Physics Teacher 11</w:t>
            </w:r>
          </w:p>
        </w:tc>
        <w:tc>
          <w:tcPr>
            <w:tcW w:w="1575" w:type="dxa"/>
          </w:tcPr>
          <w:p w14:paraId="3EFD5C60" w14:textId="77777777" w:rsidR="00C10B27" w:rsidRPr="0084708A" w:rsidRDefault="00C10B27" w:rsidP="00FE6E39">
            <w:pPr>
              <w:ind w:firstLine="0"/>
              <w:rPr>
                <w:lang w:val="en-GB" w:eastAsia="en-GB"/>
              </w:rPr>
            </w:pPr>
            <w:r w:rsidRPr="0084708A">
              <w:rPr>
                <w:lang w:val="en-GB" w:eastAsia="en-GB"/>
              </w:rPr>
              <w:t>Free</w:t>
            </w:r>
          </w:p>
        </w:tc>
      </w:tr>
      <w:tr w:rsidR="00C10B27" w:rsidRPr="0084708A" w14:paraId="2B3011B9" w14:textId="77777777" w:rsidTr="002D4BE0">
        <w:tc>
          <w:tcPr>
            <w:tcW w:w="1143" w:type="dxa"/>
          </w:tcPr>
          <w:p w14:paraId="22923FE4" w14:textId="77777777" w:rsidR="00C10B27" w:rsidRPr="0084708A" w:rsidRDefault="00C10B27" w:rsidP="00FE6E39">
            <w:pPr>
              <w:ind w:firstLine="0"/>
              <w:jc w:val="center"/>
              <w:rPr>
                <w:lang w:val="en-GB" w:eastAsia="en-GB"/>
              </w:rPr>
            </w:pPr>
            <w:r w:rsidRPr="0084708A">
              <w:rPr>
                <w:lang w:val="en-GB" w:eastAsia="en-GB"/>
              </w:rPr>
              <w:t>4</w:t>
            </w:r>
          </w:p>
        </w:tc>
        <w:tc>
          <w:tcPr>
            <w:tcW w:w="1574" w:type="dxa"/>
          </w:tcPr>
          <w:p w14:paraId="5FA9CF50" w14:textId="77A716EE" w:rsidR="00C10B27" w:rsidRPr="0084708A" w:rsidRDefault="00C10B27" w:rsidP="00FE6E39">
            <w:pPr>
              <w:ind w:firstLine="0"/>
              <w:rPr>
                <w:lang w:val="en-GB" w:eastAsia="en-GB"/>
              </w:rPr>
            </w:pPr>
            <w:r w:rsidRPr="0084708A">
              <w:rPr>
                <w:lang w:val="en-GB" w:eastAsia="en-GB"/>
              </w:rPr>
              <w:t xml:space="preserve">Chemistry </w:t>
            </w:r>
            <w:r w:rsidR="00D109AE" w:rsidRPr="0084708A">
              <w:rPr>
                <w:lang w:val="en-GB" w:eastAsia="en-GB"/>
              </w:rPr>
              <w:t xml:space="preserve">practical </w:t>
            </w:r>
            <w:r w:rsidRPr="0084708A">
              <w:rPr>
                <w:lang w:val="en-GB" w:eastAsia="en-GB"/>
              </w:rPr>
              <w:t>Teacher 3</w:t>
            </w:r>
          </w:p>
        </w:tc>
        <w:tc>
          <w:tcPr>
            <w:tcW w:w="1575" w:type="dxa"/>
          </w:tcPr>
          <w:p w14:paraId="108326D4" w14:textId="77777777" w:rsidR="00C10B27" w:rsidRPr="0084708A" w:rsidRDefault="00C10B27" w:rsidP="00FE6E39">
            <w:pPr>
              <w:ind w:firstLine="0"/>
              <w:rPr>
                <w:lang w:val="en-GB" w:eastAsia="en-GB"/>
              </w:rPr>
            </w:pPr>
            <w:r w:rsidRPr="0084708A">
              <w:rPr>
                <w:lang w:val="en-GB" w:eastAsia="en-GB"/>
              </w:rPr>
              <w:t>Psychology Teacher 8</w:t>
            </w:r>
          </w:p>
        </w:tc>
        <w:tc>
          <w:tcPr>
            <w:tcW w:w="1574" w:type="dxa"/>
          </w:tcPr>
          <w:p w14:paraId="127542AC" w14:textId="77777777" w:rsidR="00C10B27" w:rsidRPr="0084708A" w:rsidRDefault="00C10B27" w:rsidP="00FE6E39">
            <w:pPr>
              <w:ind w:firstLine="0"/>
              <w:rPr>
                <w:lang w:val="en-GB" w:eastAsia="en-GB"/>
              </w:rPr>
            </w:pPr>
            <w:r w:rsidRPr="0084708A">
              <w:rPr>
                <w:lang w:val="en-GB" w:eastAsia="en-GB"/>
              </w:rPr>
              <w:t>Free</w:t>
            </w:r>
          </w:p>
        </w:tc>
        <w:tc>
          <w:tcPr>
            <w:tcW w:w="1575" w:type="dxa"/>
          </w:tcPr>
          <w:p w14:paraId="378B880B" w14:textId="77777777" w:rsidR="00C10B27" w:rsidRPr="0084708A" w:rsidRDefault="00C10B27" w:rsidP="00FE6E39">
            <w:pPr>
              <w:ind w:firstLine="0"/>
              <w:rPr>
                <w:lang w:val="en-GB" w:eastAsia="en-GB"/>
              </w:rPr>
            </w:pPr>
            <w:r w:rsidRPr="0084708A">
              <w:rPr>
                <w:lang w:val="en-GB" w:eastAsia="en-GB"/>
              </w:rPr>
              <w:t>Biology Teacher 9</w:t>
            </w:r>
          </w:p>
        </w:tc>
        <w:tc>
          <w:tcPr>
            <w:tcW w:w="1575" w:type="dxa"/>
          </w:tcPr>
          <w:p w14:paraId="7EEED360" w14:textId="77777777" w:rsidR="00C10B27" w:rsidRPr="0084708A" w:rsidRDefault="00C10B27" w:rsidP="00FE6E39">
            <w:pPr>
              <w:ind w:firstLine="0"/>
              <w:rPr>
                <w:lang w:val="en-GB" w:eastAsia="en-GB"/>
              </w:rPr>
            </w:pPr>
            <w:r w:rsidRPr="0084708A">
              <w:rPr>
                <w:lang w:val="en-GB" w:eastAsia="en-GB"/>
              </w:rPr>
              <w:t>Psychology Teacher 8</w:t>
            </w:r>
          </w:p>
        </w:tc>
      </w:tr>
      <w:tr w:rsidR="00C10B27" w:rsidRPr="0084708A" w14:paraId="5950D35B" w14:textId="77777777" w:rsidTr="002D4BE0">
        <w:tc>
          <w:tcPr>
            <w:tcW w:w="1143" w:type="dxa"/>
          </w:tcPr>
          <w:p w14:paraId="6E24A5D2" w14:textId="77777777" w:rsidR="00C10B27" w:rsidRPr="0084708A" w:rsidRDefault="00C10B27" w:rsidP="00FE6E39">
            <w:pPr>
              <w:ind w:firstLine="0"/>
              <w:jc w:val="center"/>
              <w:rPr>
                <w:lang w:val="en-GB" w:eastAsia="en-GB"/>
              </w:rPr>
            </w:pPr>
            <w:r w:rsidRPr="0084708A">
              <w:rPr>
                <w:lang w:val="en-GB" w:eastAsia="en-GB"/>
              </w:rPr>
              <w:t>5</w:t>
            </w:r>
          </w:p>
        </w:tc>
        <w:tc>
          <w:tcPr>
            <w:tcW w:w="1574" w:type="dxa"/>
          </w:tcPr>
          <w:p w14:paraId="0EFA4B4C" w14:textId="77777777" w:rsidR="00C10B27" w:rsidRPr="0084708A" w:rsidRDefault="00C10B27" w:rsidP="00FE6E39">
            <w:pPr>
              <w:ind w:firstLine="0"/>
              <w:rPr>
                <w:lang w:val="en-GB" w:eastAsia="en-GB"/>
              </w:rPr>
            </w:pPr>
            <w:r w:rsidRPr="0084708A">
              <w:rPr>
                <w:lang w:val="en-GB" w:eastAsia="en-GB"/>
              </w:rPr>
              <w:t>Chemistry Teacher 4</w:t>
            </w:r>
          </w:p>
        </w:tc>
        <w:tc>
          <w:tcPr>
            <w:tcW w:w="1575" w:type="dxa"/>
          </w:tcPr>
          <w:p w14:paraId="33276C91" w14:textId="77777777" w:rsidR="00C10B27" w:rsidRPr="0084708A" w:rsidRDefault="00C10B27" w:rsidP="00FE6E39">
            <w:pPr>
              <w:ind w:firstLine="0"/>
              <w:rPr>
                <w:lang w:val="en-GB" w:eastAsia="en-GB"/>
              </w:rPr>
            </w:pPr>
            <w:r w:rsidRPr="0084708A">
              <w:rPr>
                <w:lang w:val="en-GB" w:eastAsia="en-GB"/>
              </w:rPr>
              <w:t>Free</w:t>
            </w:r>
          </w:p>
        </w:tc>
        <w:tc>
          <w:tcPr>
            <w:tcW w:w="1574" w:type="dxa"/>
          </w:tcPr>
          <w:p w14:paraId="0A7CB4DF" w14:textId="77777777" w:rsidR="00C10B27" w:rsidRPr="0084708A" w:rsidRDefault="00C10B27" w:rsidP="00FE6E39">
            <w:pPr>
              <w:ind w:firstLine="0"/>
              <w:rPr>
                <w:lang w:val="en-GB" w:eastAsia="en-GB"/>
              </w:rPr>
            </w:pPr>
            <w:r w:rsidRPr="0084708A">
              <w:rPr>
                <w:lang w:val="en-GB" w:eastAsia="en-GB"/>
              </w:rPr>
              <w:t>Physics Teacher 11</w:t>
            </w:r>
          </w:p>
        </w:tc>
        <w:tc>
          <w:tcPr>
            <w:tcW w:w="1575" w:type="dxa"/>
          </w:tcPr>
          <w:p w14:paraId="6D337958" w14:textId="77777777" w:rsidR="00C10B27" w:rsidRPr="0084708A" w:rsidRDefault="00C10B27" w:rsidP="00FE6E39">
            <w:pPr>
              <w:ind w:firstLine="0"/>
              <w:rPr>
                <w:lang w:val="en-GB" w:eastAsia="en-GB"/>
              </w:rPr>
            </w:pPr>
            <w:r w:rsidRPr="0084708A">
              <w:rPr>
                <w:lang w:val="en-GB" w:eastAsia="en-GB"/>
              </w:rPr>
              <w:t>Chemistry Teacher 1</w:t>
            </w:r>
          </w:p>
        </w:tc>
        <w:tc>
          <w:tcPr>
            <w:tcW w:w="1575" w:type="dxa"/>
          </w:tcPr>
          <w:p w14:paraId="6AC316DC" w14:textId="77777777" w:rsidR="00C10B27" w:rsidRPr="0084708A" w:rsidRDefault="00C10B27" w:rsidP="00FE6E39">
            <w:pPr>
              <w:ind w:firstLine="0"/>
              <w:rPr>
                <w:lang w:val="en-GB" w:eastAsia="en-GB"/>
              </w:rPr>
            </w:pPr>
            <w:r w:rsidRPr="0084708A">
              <w:rPr>
                <w:lang w:val="en-GB" w:eastAsia="en-GB"/>
              </w:rPr>
              <w:t>Physics Teacher 11</w:t>
            </w:r>
          </w:p>
        </w:tc>
      </w:tr>
      <w:tr w:rsidR="00C10B27" w:rsidRPr="0084708A" w14:paraId="4D249174" w14:textId="77777777" w:rsidTr="002D4BE0">
        <w:tc>
          <w:tcPr>
            <w:tcW w:w="1143" w:type="dxa"/>
          </w:tcPr>
          <w:p w14:paraId="0CC9374F" w14:textId="77777777" w:rsidR="00C10B27" w:rsidRPr="0084708A" w:rsidRDefault="00C10B27" w:rsidP="00FE6E39">
            <w:pPr>
              <w:ind w:firstLine="0"/>
              <w:jc w:val="center"/>
              <w:rPr>
                <w:lang w:val="en-GB" w:eastAsia="en-GB"/>
              </w:rPr>
            </w:pPr>
            <w:r w:rsidRPr="0084708A">
              <w:rPr>
                <w:lang w:val="en-GB" w:eastAsia="en-GB"/>
              </w:rPr>
              <w:t>6</w:t>
            </w:r>
          </w:p>
        </w:tc>
        <w:tc>
          <w:tcPr>
            <w:tcW w:w="1574" w:type="dxa"/>
          </w:tcPr>
          <w:p w14:paraId="1E5B7EBC" w14:textId="77777777" w:rsidR="00C10B27" w:rsidRPr="0084708A" w:rsidRDefault="00C10B27" w:rsidP="00FE6E39">
            <w:pPr>
              <w:ind w:firstLine="0"/>
              <w:rPr>
                <w:lang w:val="en-GB" w:eastAsia="en-GB"/>
              </w:rPr>
            </w:pPr>
            <w:r w:rsidRPr="0084708A">
              <w:rPr>
                <w:lang w:val="en-GB" w:eastAsia="en-GB"/>
              </w:rPr>
              <w:t>Biology Teacher 2</w:t>
            </w:r>
          </w:p>
        </w:tc>
        <w:tc>
          <w:tcPr>
            <w:tcW w:w="1575" w:type="dxa"/>
          </w:tcPr>
          <w:p w14:paraId="3719AC24" w14:textId="77777777" w:rsidR="00C10B27" w:rsidRPr="0084708A" w:rsidRDefault="00C10B27" w:rsidP="00FE6E39">
            <w:pPr>
              <w:ind w:firstLine="0"/>
              <w:rPr>
                <w:lang w:val="en-GB" w:eastAsia="en-GB"/>
              </w:rPr>
            </w:pPr>
            <w:r w:rsidRPr="0084708A">
              <w:rPr>
                <w:lang w:val="en-GB" w:eastAsia="en-GB"/>
              </w:rPr>
              <w:t>Biology Teacher 9</w:t>
            </w:r>
          </w:p>
        </w:tc>
        <w:tc>
          <w:tcPr>
            <w:tcW w:w="1574" w:type="dxa"/>
          </w:tcPr>
          <w:p w14:paraId="6EEDC39B" w14:textId="77777777" w:rsidR="00C10B27" w:rsidRPr="0084708A" w:rsidRDefault="00C10B27" w:rsidP="00FE6E39">
            <w:pPr>
              <w:ind w:firstLine="0"/>
              <w:rPr>
                <w:lang w:val="en-GB" w:eastAsia="en-GB"/>
              </w:rPr>
            </w:pPr>
            <w:r w:rsidRPr="0084708A">
              <w:rPr>
                <w:lang w:val="en-GB" w:eastAsia="en-GB"/>
              </w:rPr>
              <w:t>Free</w:t>
            </w:r>
          </w:p>
        </w:tc>
        <w:tc>
          <w:tcPr>
            <w:tcW w:w="1575" w:type="dxa"/>
          </w:tcPr>
          <w:p w14:paraId="32760C0B" w14:textId="77777777" w:rsidR="00C10B27" w:rsidRPr="0084708A" w:rsidRDefault="00C10B27" w:rsidP="00FE6E39">
            <w:pPr>
              <w:ind w:firstLine="0"/>
              <w:rPr>
                <w:lang w:val="en-GB" w:eastAsia="en-GB"/>
              </w:rPr>
            </w:pPr>
            <w:r w:rsidRPr="0084708A">
              <w:rPr>
                <w:lang w:val="en-GB" w:eastAsia="en-GB"/>
              </w:rPr>
              <w:t>English Teacher 5</w:t>
            </w:r>
          </w:p>
        </w:tc>
        <w:tc>
          <w:tcPr>
            <w:tcW w:w="1575" w:type="dxa"/>
          </w:tcPr>
          <w:p w14:paraId="75B8C9D9" w14:textId="77777777" w:rsidR="00C10B27" w:rsidRPr="0084708A" w:rsidRDefault="00C10B27" w:rsidP="00FE6E39">
            <w:pPr>
              <w:ind w:firstLine="0"/>
              <w:rPr>
                <w:lang w:val="en-GB" w:eastAsia="en-GB"/>
              </w:rPr>
            </w:pPr>
            <w:r w:rsidRPr="0084708A">
              <w:rPr>
                <w:lang w:val="en-GB" w:eastAsia="en-GB"/>
              </w:rPr>
              <w:t>Chemistry Teacher 3</w:t>
            </w:r>
          </w:p>
        </w:tc>
      </w:tr>
      <w:tr w:rsidR="00C10B27" w:rsidRPr="0084708A" w14:paraId="6741BDD7" w14:textId="77777777" w:rsidTr="002D4BE0">
        <w:tc>
          <w:tcPr>
            <w:tcW w:w="1143" w:type="dxa"/>
          </w:tcPr>
          <w:p w14:paraId="0EECE04B" w14:textId="77777777" w:rsidR="00C10B27" w:rsidRPr="0084708A" w:rsidRDefault="00C10B27" w:rsidP="00FE6E39">
            <w:pPr>
              <w:ind w:firstLine="0"/>
              <w:jc w:val="center"/>
              <w:rPr>
                <w:lang w:val="en-GB" w:eastAsia="en-GB"/>
              </w:rPr>
            </w:pPr>
            <w:r w:rsidRPr="0084708A">
              <w:rPr>
                <w:lang w:val="en-GB" w:eastAsia="en-GB"/>
              </w:rPr>
              <w:t>7</w:t>
            </w:r>
          </w:p>
        </w:tc>
        <w:tc>
          <w:tcPr>
            <w:tcW w:w="1574" w:type="dxa"/>
          </w:tcPr>
          <w:p w14:paraId="306545DC" w14:textId="77777777" w:rsidR="00C10B27" w:rsidRPr="0084708A" w:rsidRDefault="00C10B27" w:rsidP="00FE6E39">
            <w:pPr>
              <w:ind w:firstLine="0"/>
              <w:rPr>
                <w:lang w:val="en-GB" w:eastAsia="en-GB"/>
              </w:rPr>
            </w:pPr>
            <w:r w:rsidRPr="0084708A">
              <w:rPr>
                <w:lang w:val="en-GB" w:eastAsia="en-GB"/>
              </w:rPr>
              <w:t>English Teacher 5</w:t>
            </w:r>
          </w:p>
        </w:tc>
        <w:tc>
          <w:tcPr>
            <w:tcW w:w="1575" w:type="dxa"/>
          </w:tcPr>
          <w:p w14:paraId="3835CDA2" w14:textId="77777777" w:rsidR="00C10B27" w:rsidRPr="0084708A" w:rsidRDefault="00C10B27" w:rsidP="00FE6E39">
            <w:pPr>
              <w:ind w:firstLine="0"/>
              <w:rPr>
                <w:lang w:val="en-GB" w:eastAsia="en-GB"/>
              </w:rPr>
            </w:pPr>
            <w:r w:rsidRPr="0084708A">
              <w:rPr>
                <w:lang w:val="en-GB" w:eastAsia="en-GB"/>
              </w:rPr>
              <w:t>English Teacher 5</w:t>
            </w:r>
          </w:p>
        </w:tc>
        <w:tc>
          <w:tcPr>
            <w:tcW w:w="1574" w:type="dxa"/>
          </w:tcPr>
          <w:p w14:paraId="031E88FC" w14:textId="77777777" w:rsidR="00C10B27" w:rsidRPr="0084708A" w:rsidRDefault="00C10B27" w:rsidP="00FE6E39">
            <w:pPr>
              <w:ind w:firstLine="0"/>
              <w:rPr>
                <w:lang w:val="en-GB" w:eastAsia="en-GB"/>
              </w:rPr>
            </w:pPr>
            <w:r w:rsidRPr="0084708A">
              <w:rPr>
                <w:lang w:val="en-GB" w:eastAsia="en-GB"/>
              </w:rPr>
              <w:t>SOK Teacher 12</w:t>
            </w:r>
          </w:p>
        </w:tc>
        <w:tc>
          <w:tcPr>
            <w:tcW w:w="1575" w:type="dxa"/>
          </w:tcPr>
          <w:p w14:paraId="4579E9D0" w14:textId="77777777" w:rsidR="00C10B27" w:rsidRPr="0084708A" w:rsidRDefault="00C10B27" w:rsidP="00FE6E39">
            <w:pPr>
              <w:ind w:firstLine="0"/>
              <w:rPr>
                <w:lang w:val="en-GB" w:eastAsia="en-GB"/>
              </w:rPr>
            </w:pPr>
            <w:r w:rsidRPr="0084708A">
              <w:rPr>
                <w:lang w:val="en-GB" w:eastAsia="en-GB"/>
              </w:rPr>
              <w:t>SOK Teacher 14</w:t>
            </w:r>
          </w:p>
        </w:tc>
        <w:tc>
          <w:tcPr>
            <w:tcW w:w="1575" w:type="dxa"/>
          </w:tcPr>
          <w:p w14:paraId="710BA83A" w14:textId="77777777" w:rsidR="00C10B27" w:rsidRPr="0084708A" w:rsidRDefault="00C10B27" w:rsidP="00FE6E39">
            <w:pPr>
              <w:keepNext/>
              <w:ind w:firstLine="0"/>
              <w:rPr>
                <w:lang w:val="en-GB" w:eastAsia="en-GB"/>
              </w:rPr>
            </w:pPr>
            <w:r w:rsidRPr="0084708A">
              <w:rPr>
                <w:lang w:val="en-GB" w:eastAsia="en-GB"/>
              </w:rPr>
              <w:t>Psychology Teacher 8</w:t>
            </w:r>
          </w:p>
        </w:tc>
      </w:tr>
    </w:tbl>
    <w:p w14:paraId="601CDC36" w14:textId="77777777" w:rsidR="00C10B27" w:rsidRPr="0084708A" w:rsidRDefault="00C10B27" w:rsidP="00BC01C0">
      <w:pPr>
        <w:pStyle w:val="Caption"/>
      </w:pPr>
      <w:bookmarkStart w:id="5" w:name="_Toc188168272"/>
      <w:bookmarkStart w:id="6" w:name="_Toc188540368"/>
      <w:r w:rsidRPr="0084708A">
        <w:t xml:space="preserve">Figure </w:t>
      </w:r>
      <w:r>
        <w:fldChar w:fldCharType="begin"/>
      </w:r>
      <w:r>
        <w:instrText xml:space="preserve"> SEQ Figure \* ARABIC </w:instrText>
      </w:r>
      <w:r>
        <w:fldChar w:fldCharType="separate"/>
      </w:r>
      <w:r w:rsidRPr="0084708A">
        <w:rPr>
          <w:noProof/>
        </w:rPr>
        <w:t>1</w:t>
      </w:r>
      <w:r>
        <w:rPr>
          <w:noProof/>
        </w:rPr>
        <w:fldChar w:fldCharType="end"/>
      </w:r>
      <w:r w:rsidRPr="0084708A">
        <w:t>: A typical students’ timetable</w:t>
      </w:r>
      <w:bookmarkEnd w:id="5"/>
      <w:bookmarkEnd w:id="6"/>
    </w:p>
    <w:p w14:paraId="7D9C0382" w14:textId="77777777" w:rsidR="00D109AE" w:rsidRPr="0084708A" w:rsidRDefault="00D109AE" w:rsidP="003A2741">
      <w:pPr>
        <w:ind w:firstLine="0"/>
      </w:pPr>
    </w:p>
    <w:p w14:paraId="2D35D41B" w14:textId="501CB8E0" w:rsidR="00C10B27" w:rsidRPr="0084708A" w:rsidRDefault="00C10B27" w:rsidP="00890F27">
      <w:pPr>
        <w:pStyle w:val="Heading3"/>
      </w:pPr>
      <w:bookmarkStart w:id="7" w:name="_Toc188167847"/>
      <w:bookmarkStart w:id="8" w:name="_Toc188540451"/>
      <w:r w:rsidRPr="0084708A">
        <w:t>Positionality of the Researcher</w:t>
      </w:r>
      <w:bookmarkEnd w:id="7"/>
      <w:bookmarkEnd w:id="8"/>
    </w:p>
    <w:p w14:paraId="0516C982" w14:textId="77777777" w:rsidR="00C10B27" w:rsidRPr="0084708A" w:rsidRDefault="00C10B27" w:rsidP="00FE6E39">
      <w:pPr>
        <w:pStyle w:val="ListParagraph"/>
      </w:pPr>
    </w:p>
    <w:p w14:paraId="563D2E75" w14:textId="592A6E05" w:rsidR="00C10B27" w:rsidRPr="0084708A" w:rsidRDefault="00C10B27" w:rsidP="00FE6E39">
      <w:r w:rsidRPr="0084708A">
        <w:t xml:space="preserve">The researcher, a post-secondary Biology lecturer with </w:t>
      </w:r>
      <w:r w:rsidR="00454383">
        <w:t>25</w:t>
      </w:r>
      <w:r w:rsidRPr="0084708A">
        <w:t xml:space="preserve"> years of experience, prioritises valuing students' voices, promoting wellbeing, and fostering a culture of empowerment and motivation to help students achieve their potential. With a background in psychology, positive psychology, neuroscience, and neuroplasticity, she adopts a holistic and evidence-based approach to student development, recognising the interconnectedness of cognitive, emotional, and behavioural factors in building academic resilience. She believes in equipping students with the necessary skills to manage stressors. This philosophy, she believes, should be embraced by both educators and students through a collaborative effort across the school community. The researcher also emphasises that the post-secondary sector, which serves approximately 9,610 students annually (NSO, 2024), requires dedicated studies rather than relying on adaptations of research aimed at other educational levels.</w:t>
      </w:r>
    </w:p>
    <w:p w14:paraId="042C1B1F" w14:textId="77777777" w:rsidR="00C10B27" w:rsidRPr="0084708A" w:rsidRDefault="00C10B27" w:rsidP="002D008C">
      <w:pPr>
        <w:pStyle w:val="Heading2"/>
      </w:pPr>
      <w:bookmarkStart w:id="9" w:name="_Toc188167848"/>
    </w:p>
    <w:p w14:paraId="2B1914DB" w14:textId="20C094F7" w:rsidR="00C10B27" w:rsidRPr="0084708A" w:rsidRDefault="00C10B27" w:rsidP="00890F27">
      <w:pPr>
        <w:pStyle w:val="Heading3"/>
      </w:pPr>
      <w:bookmarkStart w:id="10" w:name="_Toc188540452"/>
      <w:bookmarkEnd w:id="9"/>
      <w:r w:rsidRPr="0084708A">
        <w:t>Philosophical Stance</w:t>
      </w:r>
      <w:bookmarkEnd w:id="10"/>
    </w:p>
    <w:p w14:paraId="7C41EFEB" w14:textId="77777777" w:rsidR="00C10B27" w:rsidRPr="0084708A" w:rsidRDefault="00C10B27" w:rsidP="00FE6E39">
      <w:pPr>
        <w:rPr>
          <w:lang w:val="en-GB" w:eastAsia="en-GB"/>
        </w:rPr>
      </w:pPr>
    </w:p>
    <w:p w14:paraId="359998C1" w14:textId="2ABA10F6" w:rsidR="00C10B27" w:rsidRPr="0084708A" w:rsidRDefault="00C10B27" w:rsidP="00FE6E39">
      <w:pPr>
        <w:rPr>
          <w:lang w:val="en-GB" w:eastAsia="en-GB"/>
        </w:rPr>
      </w:pPr>
      <w:r w:rsidRPr="0084708A">
        <w:rPr>
          <w:lang w:val="en-GB" w:eastAsia="en-GB"/>
        </w:rPr>
        <w:t xml:space="preserve">The philosophical stance underpinning this study is interpretivism, an epistemological approach that emphasises understanding the role of humans as social actors (Saunders et al., 2012). This perspective necessitates analysing human behaviour in relation to the meanings individuals assign to their roles (Lyu, 2024). The epistemological foundation aligns with a subjectivist perspective, which focuses on understanding the nature and scope of knowledge (Denicolo et al., 2016). This approach is particularly relevant for exploring the "how" and "why" of human interactions (Walsh &amp; Downe, 2006), as it seeks to uncover participants' perceptions of the skills students need to effectively manage workloads and deadlines. In the post-secondary context, these perceptions are shaped by a variety of contextual factors, making it essential to derive meaning from participants' experiences. The analysed data was constructed through an interpretative process that acknowledged the subjective nature of </w:t>
      </w:r>
      <w:r w:rsidRPr="0084708A">
        <w:rPr>
          <w:lang w:val="en-GB" w:eastAsia="en-GB"/>
        </w:rPr>
        <w:lastRenderedPageBreak/>
        <w:t>these experiences (Aspers &amp; Corte, 2019).</w:t>
      </w:r>
      <w:r w:rsidR="00C240EB" w:rsidRPr="0084708A">
        <w:rPr>
          <w:lang w:val="en-GB" w:eastAsia="en-GB"/>
        </w:rPr>
        <w:t xml:space="preserve"> </w:t>
      </w:r>
      <w:r w:rsidRPr="0084708A">
        <w:rPr>
          <w:lang w:val="en-GB" w:eastAsia="en-GB"/>
        </w:rPr>
        <w:t xml:space="preserve">From an ontological perspective, the research adopts a relativist approach, reflecting the researcher’s belief in the existence of multiple realities (Creswell &amp; </w:t>
      </w:r>
      <w:proofErr w:type="spellStart"/>
      <w:r w:rsidRPr="0084708A">
        <w:rPr>
          <w:lang w:val="en-GB" w:eastAsia="en-GB"/>
        </w:rPr>
        <w:t>Poth</w:t>
      </w:r>
      <w:proofErr w:type="spellEnd"/>
      <w:r w:rsidRPr="0084708A">
        <w:rPr>
          <w:lang w:val="en-GB" w:eastAsia="en-GB"/>
        </w:rPr>
        <w:t>, 2018). Ontology, as the study of "the nature of being and existence" (</w:t>
      </w:r>
      <w:proofErr w:type="spellStart"/>
      <w:r w:rsidRPr="0084708A">
        <w:rPr>
          <w:lang w:val="en-GB" w:eastAsia="en-GB"/>
        </w:rPr>
        <w:t>Kivunja</w:t>
      </w:r>
      <w:proofErr w:type="spellEnd"/>
      <w:r w:rsidRPr="0084708A">
        <w:rPr>
          <w:lang w:val="en-GB" w:eastAsia="en-GB"/>
        </w:rPr>
        <w:t xml:space="preserve"> &amp; </w:t>
      </w:r>
      <w:proofErr w:type="spellStart"/>
      <w:r w:rsidRPr="0084708A">
        <w:rPr>
          <w:lang w:val="en-GB" w:eastAsia="en-GB"/>
        </w:rPr>
        <w:t>Kuyini</w:t>
      </w:r>
      <w:proofErr w:type="spellEnd"/>
      <w:r w:rsidRPr="0084708A">
        <w:rPr>
          <w:lang w:val="en-GB" w:eastAsia="en-GB"/>
        </w:rPr>
        <w:t>, 2017), underpins this approach by recognising that both the researcher and the participants bring unique interpretations and lived experiences to the study. The way students navigate workloads and deadlines is viewed as being shaped by individual realities, which are context-dependent and influenced by personal circumstances. These realities are explored and interpreted through collaborative exchanges of information, providing deeper insights into the phenomenon being studied (</w:t>
      </w:r>
      <w:proofErr w:type="spellStart"/>
      <w:r w:rsidRPr="0084708A">
        <w:rPr>
          <w:lang w:val="en-GB" w:eastAsia="en-GB"/>
        </w:rPr>
        <w:t>Kivunja</w:t>
      </w:r>
      <w:proofErr w:type="spellEnd"/>
      <w:r w:rsidRPr="0084708A">
        <w:rPr>
          <w:lang w:val="en-GB" w:eastAsia="en-GB"/>
        </w:rPr>
        <w:t xml:space="preserve"> &amp; </w:t>
      </w:r>
      <w:proofErr w:type="spellStart"/>
      <w:r w:rsidRPr="0084708A">
        <w:rPr>
          <w:lang w:val="en-GB" w:eastAsia="en-GB"/>
        </w:rPr>
        <w:t>Kuyini</w:t>
      </w:r>
      <w:proofErr w:type="spellEnd"/>
      <w:r w:rsidRPr="0084708A">
        <w:rPr>
          <w:lang w:val="en-GB" w:eastAsia="en-GB"/>
        </w:rPr>
        <w:t>, 2017).</w:t>
      </w:r>
      <w:r w:rsidR="00D12E26" w:rsidRPr="0084708A">
        <w:rPr>
          <w:lang w:val="en-GB" w:eastAsia="en-GB"/>
        </w:rPr>
        <w:t xml:space="preserve"> </w:t>
      </w:r>
      <w:r w:rsidRPr="0084708A">
        <w:rPr>
          <w:lang w:val="en-GB" w:eastAsia="en-GB"/>
        </w:rPr>
        <w:t xml:space="preserve">The axiology of this research reflects the value-laden nature of qualitative inquiry (Creswell &amp; </w:t>
      </w:r>
      <w:proofErr w:type="spellStart"/>
      <w:r w:rsidRPr="0084708A">
        <w:rPr>
          <w:lang w:val="en-GB" w:eastAsia="en-GB"/>
        </w:rPr>
        <w:t>Poth</w:t>
      </w:r>
      <w:proofErr w:type="spellEnd"/>
      <w:r w:rsidRPr="0084708A">
        <w:rPr>
          <w:lang w:val="en-GB" w:eastAsia="en-GB"/>
        </w:rPr>
        <w:t>, 2018). It acknowledges the influence of the researcher’s biases and the subjective importance participants attribute to their experiences. This balanced axiological approach aims to synthesise findings objectively while maintaining ethical rigour (</w:t>
      </w:r>
      <w:proofErr w:type="spellStart"/>
      <w:r w:rsidRPr="0084708A">
        <w:rPr>
          <w:lang w:val="en-GB" w:eastAsia="en-GB"/>
        </w:rPr>
        <w:t>Kivunja</w:t>
      </w:r>
      <w:proofErr w:type="spellEnd"/>
      <w:r w:rsidRPr="0084708A">
        <w:rPr>
          <w:lang w:val="en-GB" w:eastAsia="en-GB"/>
        </w:rPr>
        <w:t xml:space="preserve"> &amp; </w:t>
      </w:r>
      <w:proofErr w:type="spellStart"/>
      <w:r w:rsidRPr="0084708A">
        <w:rPr>
          <w:lang w:val="en-GB" w:eastAsia="en-GB"/>
        </w:rPr>
        <w:t>Kuyini</w:t>
      </w:r>
      <w:proofErr w:type="spellEnd"/>
      <w:r w:rsidRPr="0084708A">
        <w:rPr>
          <w:lang w:val="en-GB" w:eastAsia="en-GB"/>
        </w:rPr>
        <w:t>, 2017). Ethical considerations include protecting participants from potential harm, minimising researcher bias, and ensuring that conclusions are drawn responsibly (Haynes, 2017). By embracing diverse perspectives and interpretations, the research adheres to the principles of ethical complexity, recognising that multiple valid explanations can coexist within the study's exploratory framework (Aspers &amp; Corte, 2019).</w:t>
      </w:r>
    </w:p>
    <w:p w14:paraId="6085EFDD" w14:textId="77777777" w:rsidR="00C10B27" w:rsidRPr="0084708A" w:rsidRDefault="00C10B27" w:rsidP="00FE6E39">
      <w:pPr>
        <w:rPr>
          <w:lang w:val="en-GB" w:eastAsia="en-GB"/>
        </w:rPr>
      </w:pPr>
    </w:p>
    <w:p w14:paraId="3B42EB3F" w14:textId="3D78A749" w:rsidR="00C10B27" w:rsidRPr="0084708A" w:rsidRDefault="00C10B27" w:rsidP="00890F27">
      <w:pPr>
        <w:pStyle w:val="Heading3"/>
      </w:pPr>
      <w:bookmarkStart w:id="11" w:name="_Toc188167850"/>
      <w:bookmarkStart w:id="12" w:name="_Toc188540454"/>
      <w:r w:rsidRPr="0084708A">
        <w:t>Statement of the Problem</w:t>
      </w:r>
      <w:bookmarkEnd w:id="11"/>
      <w:bookmarkEnd w:id="12"/>
    </w:p>
    <w:p w14:paraId="1147A588" w14:textId="77777777" w:rsidR="00C10B27" w:rsidRPr="0084708A" w:rsidRDefault="00C10B27" w:rsidP="00FE6E39"/>
    <w:p w14:paraId="5540DFB5" w14:textId="77777777" w:rsidR="00413522" w:rsidRDefault="00413522" w:rsidP="00413522">
      <w:pPr>
        <w:rPr>
          <w:color w:val="111111"/>
          <w:shd w:val="clear" w:color="auto" w:fill="FFFFFF"/>
        </w:rPr>
      </w:pPr>
      <w:bookmarkStart w:id="13" w:name="_Toc188167851"/>
      <w:r w:rsidRPr="00E542DE">
        <w:rPr>
          <w:color w:val="111111"/>
          <w:shd w:val="clear" w:color="auto" w:fill="FFFFFF"/>
        </w:rPr>
        <w:t xml:space="preserve">In Malta, the qualifications required for post-secondary lecturers emphasise </w:t>
      </w:r>
      <w:r>
        <w:rPr>
          <w:color w:val="111111"/>
          <w:shd w:val="clear" w:color="auto" w:fill="FFFFFF"/>
        </w:rPr>
        <w:t xml:space="preserve">more </w:t>
      </w:r>
      <w:r w:rsidRPr="00E542DE">
        <w:rPr>
          <w:color w:val="111111"/>
          <w:shd w:val="clear" w:color="auto" w:fill="FFFFFF"/>
        </w:rPr>
        <w:t xml:space="preserve">subject matter expertise rather than formal training in pedagogy (European Commission, 2025). As a result, </w:t>
      </w:r>
      <w:r>
        <w:rPr>
          <w:color w:val="111111"/>
          <w:shd w:val="clear" w:color="auto" w:fill="FFFFFF"/>
        </w:rPr>
        <w:t>some</w:t>
      </w:r>
      <w:r w:rsidRPr="00E542DE">
        <w:rPr>
          <w:color w:val="111111"/>
          <w:shd w:val="clear" w:color="auto" w:fill="FFFFFF"/>
        </w:rPr>
        <w:t xml:space="preserve"> lecturers may not have received formal training in student psychology, pedagogy, or teaching methodologies, which are essential for fostering effective learning environments</w:t>
      </w:r>
      <w:r>
        <w:rPr>
          <w:color w:val="111111"/>
          <w:shd w:val="clear" w:color="auto" w:fill="FFFFFF"/>
        </w:rPr>
        <w:t xml:space="preserve"> (</w:t>
      </w:r>
      <w:proofErr w:type="spellStart"/>
      <w:r>
        <w:rPr>
          <w:color w:val="111111"/>
          <w:shd w:val="clear" w:color="auto" w:fill="FFFFFF"/>
        </w:rPr>
        <w:t>Kutsyuruba</w:t>
      </w:r>
      <w:proofErr w:type="spellEnd"/>
      <w:r>
        <w:rPr>
          <w:color w:val="111111"/>
          <w:shd w:val="clear" w:color="auto" w:fill="FFFFFF"/>
        </w:rPr>
        <w:t xml:space="preserve"> &amp; Bezzina, 2024)</w:t>
      </w:r>
      <w:r w:rsidRPr="00E542DE">
        <w:rPr>
          <w:color w:val="111111"/>
          <w:shd w:val="clear" w:color="auto" w:fill="FFFFFF"/>
        </w:rPr>
        <w:t xml:space="preserve">. This gap highlights the need for post-secondary </w:t>
      </w:r>
      <w:r>
        <w:rPr>
          <w:color w:val="111111"/>
          <w:shd w:val="clear" w:color="auto" w:fill="FFFFFF"/>
        </w:rPr>
        <w:t>schools</w:t>
      </w:r>
      <w:r w:rsidRPr="00E542DE">
        <w:rPr>
          <w:color w:val="111111"/>
          <w:shd w:val="clear" w:color="auto" w:fill="FFFFFF"/>
        </w:rPr>
        <w:t xml:space="preserve"> to implement strategies that not only ensure the effective delivery of subject content but also prioritise student wellbeing and the development of academic resilience</w:t>
      </w:r>
      <w:r>
        <w:rPr>
          <w:color w:val="111111"/>
          <w:shd w:val="clear" w:color="auto" w:fill="FFFFFF"/>
        </w:rPr>
        <w:t>.</w:t>
      </w:r>
      <w:r w:rsidRPr="00E542DE">
        <w:rPr>
          <w:color w:val="111111"/>
          <w:shd w:val="clear" w:color="auto" w:fill="FFFFFF"/>
        </w:rPr>
        <w:t xml:space="preserve"> For instance, an A-level Biology lecturer should not only focus on imparting biological knowledge but also recognise the broader role of fostering students’ holistic development. This includes equipping students with transversal and 21st-century skills that are increasingly valued in today’s dynamic world</w:t>
      </w:r>
      <w:r>
        <w:rPr>
          <w:color w:val="111111"/>
          <w:shd w:val="clear" w:color="auto" w:fill="FFFFFF"/>
        </w:rPr>
        <w:t xml:space="preserve"> (MEDE, 2017)</w:t>
      </w:r>
      <w:r w:rsidRPr="00E542DE">
        <w:rPr>
          <w:color w:val="111111"/>
          <w:shd w:val="clear" w:color="auto" w:fill="FFFFFF"/>
        </w:rPr>
        <w:t xml:space="preserve">. Given that education should be proactive in preparing future professionals, </w:t>
      </w:r>
      <w:r>
        <w:rPr>
          <w:color w:val="111111"/>
          <w:shd w:val="clear" w:color="auto" w:fill="FFFFFF"/>
        </w:rPr>
        <w:t>post-secondary schools</w:t>
      </w:r>
      <w:r w:rsidRPr="00E542DE">
        <w:rPr>
          <w:color w:val="111111"/>
          <w:shd w:val="clear" w:color="auto" w:fill="FFFFFF"/>
        </w:rPr>
        <w:t xml:space="preserve"> must ensure that students acquire the necessary competencies to navigate the evolving challenges of higher education and the workforce</w:t>
      </w:r>
      <w:r>
        <w:rPr>
          <w:color w:val="111111"/>
          <w:shd w:val="clear" w:color="auto" w:fill="FFFFFF"/>
        </w:rPr>
        <w:t xml:space="preserve"> (Gamble &amp; Crouse, 2020)</w:t>
      </w:r>
      <w:r w:rsidRPr="00E542DE">
        <w:rPr>
          <w:color w:val="111111"/>
          <w:shd w:val="clear" w:color="auto" w:fill="FFFFFF"/>
        </w:rPr>
        <w:t>. However, despite the growing recognition of these needs, research on the resilience skills required by Maltese post-secondary students remains limited. To address this gap, this study explores the perspectives of both educators and students on the most effective skills that should be taught to help students manage academic stressors, such as workloads and deadlines.</w:t>
      </w:r>
    </w:p>
    <w:p w14:paraId="23604A6F" w14:textId="77777777" w:rsidR="00413522" w:rsidRDefault="00413522" w:rsidP="00FE3939">
      <w:pPr>
        <w:ind w:firstLine="0"/>
        <w:rPr>
          <w:lang w:val="en-GB" w:eastAsia="en-GB"/>
        </w:rPr>
      </w:pPr>
    </w:p>
    <w:p w14:paraId="3E02E898" w14:textId="77777777" w:rsidR="00FE3939" w:rsidRPr="0084708A" w:rsidRDefault="00FE3939" w:rsidP="00FE3939">
      <w:pPr>
        <w:pStyle w:val="Heading3"/>
      </w:pPr>
      <w:bookmarkStart w:id="14" w:name="_Toc188167846"/>
      <w:bookmarkStart w:id="15" w:name="_Toc188540450"/>
      <w:r w:rsidRPr="0084708A">
        <w:t>Research Gap</w:t>
      </w:r>
      <w:bookmarkEnd w:id="14"/>
      <w:bookmarkEnd w:id="15"/>
    </w:p>
    <w:p w14:paraId="10A1F01B" w14:textId="77777777" w:rsidR="00FE3939" w:rsidRPr="0084708A" w:rsidRDefault="00FE3939" w:rsidP="00FE3939"/>
    <w:p w14:paraId="2F84E9F7" w14:textId="77777777" w:rsidR="00FE3939" w:rsidRPr="0084708A" w:rsidRDefault="00FE3939" w:rsidP="00FE3939">
      <w:r w:rsidRPr="0084708A">
        <w:t>A significant gap in local research has been highlighted regarding the impact of workloads and deadlines, which allegedly are key contributors to negative emotions affecting post-secondary students' wellbeing</w:t>
      </w:r>
      <w:r>
        <w:t xml:space="preserve"> (Ebejer Grech, 2024)</w:t>
      </w:r>
      <w:r w:rsidRPr="0084708A">
        <w:t xml:space="preserve">, and about strategies that can foster greater resilience in this regard. While studies have explored wellbeing and resilience at the levels of compulsory schooling </w:t>
      </w:r>
      <w:r w:rsidRPr="00717B17">
        <w:rPr>
          <w:color w:val="111111"/>
          <w:shd w:val="clear" w:color="auto" w:fill="FFFFFF"/>
        </w:rPr>
        <w:t>(Askell Williams et al., 2013; Cefai &amp; Camilleri, 2011; Cefai et al., 2014; Cefai &amp; Cooper, 2017; Debono, 2018; Haber, 2020)</w:t>
      </w:r>
      <w:r>
        <w:t xml:space="preserve"> </w:t>
      </w:r>
      <w:r w:rsidRPr="0084708A">
        <w:t xml:space="preserve">and tertiary </w:t>
      </w:r>
      <w:r w:rsidRPr="00717B17">
        <w:rPr>
          <w:color w:val="111111"/>
          <w:shd w:val="clear" w:color="auto" w:fill="FFFFFF"/>
        </w:rPr>
        <w:t>(Borg &amp; Cefai, 2014; Camilleri &amp; Galea, 2017; Cauchi &amp; Degiovanni, 2015; Mamo et al., 2012)</w:t>
      </w:r>
      <w:r w:rsidRPr="0084708A">
        <w:t xml:space="preserve">, there is a noticeable absence of focus on post-secondary students.  </w:t>
      </w:r>
    </w:p>
    <w:p w14:paraId="5FD93893" w14:textId="77777777" w:rsidR="00FE3939" w:rsidRDefault="00FE3939" w:rsidP="00FE3939">
      <w:pPr>
        <w:ind w:firstLine="0"/>
        <w:rPr>
          <w:lang w:val="en-GB" w:eastAsia="en-GB"/>
        </w:rPr>
      </w:pPr>
    </w:p>
    <w:p w14:paraId="5DB6B918" w14:textId="77777777" w:rsidR="00FE3939" w:rsidRPr="0084708A" w:rsidRDefault="00FE3939" w:rsidP="00FE3939">
      <w:pPr>
        <w:pStyle w:val="Heading3"/>
      </w:pPr>
      <w:r w:rsidRPr="0084708A">
        <w:t>Aim</w:t>
      </w:r>
    </w:p>
    <w:p w14:paraId="45E7B38C" w14:textId="77777777" w:rsidR="00FE3939" w:rsidRPr="0084708A" w:rsidRDefault="00FE3939" w:rsidP="00FE3939">
      <w:pPr>
        <w:rPr>
          <w:lang w:val="en-GB" w:eastAsia="en-GB"/>
        </w:rPr>
      </w:pPr>
    </w:p>
    <w:p w14:paraId="64DFD5ED" w14:textId="77777777" w:rsidR="00FE3939" w:rsidRPr="0084708A" w:rsidRDefault="00FE3939" w:rsidP="00FE3939">
      <w:r w:rsidRPr="004770D4">
        <w:t>The aim of this study is to explore the perspectives of Maltese post-secondary students and educators on the skills needed to manage academic stressors such as workloads and deadlines, and to collaboratively develop recommendations for embedding resilience-building strategies into the curriculum to enhance students’ wellbeing and academic success.</w:t>
      </w:r>
    </w:p>
    <w:p w14:paraId="7A1EDDA7" w14:textId="77777777" w:rsidR="00FE3939" w:rsidRPr="0084708A" w:rsidRDefault="00FE3939" w:rsidP="00FE3939"/>
    <w:p w14:paraId="0D2A59D7" w14:textId="4BF564B2" w:rsidR="00FE3939" w:rsidRPr="0084708A" w:rsidRDefault="00FE3939" w:rsidP="00FE3939">
      <w:pPr>
        <w:pStyle w:val="Heading3"/>
      </w:pPr>
      <w:r w:rsidRPr="0084708A">
        <w:t>Objectives</w:t>
      </w:r>
    </w:p>
    <w:p w14:paraId="2CC53E7C" w14:textId="77777777" w:rsidR="00FE3939" w:rsidRPr="0084708A" w:rsidRDefault="00FE3939" w:rsidP="00FE3939"/>
    <w:p w14:paraId="25FAE96C" w14:textId="77777777" w:rsidR="00FE3939" w:rsidRPr="0084708A" w:rsidRDefault="00FE3939" w:rsidP="00FE3939">
      <w:pPr>
        <w:pStyle w:val="ListParagraph"/>
        <w:numPr>
          <w:ilvl w:val="0"/>
          <w:numId w:val="5"/>
        </w:numPr>
      </w:pPr>
      <w:r w:rsidRPr="00D32302">
        <w:t>To explore the perceptions of post-secondary students and educators in Malta regarding the skills required to manage academic workloads and deadlines effectively</w:t>
      </w:r>
      <w:r w:rsidRPr="00DB2EDE">
        <w:t>.</w:t>
      </w:r>
    </w:p>
    <w:p w14:paraId="25D9ADED" w14:textId="77777777" w:rsidR="00FE3939" w:rsidRPr="0084708A" w:rsidRDefault="00FE3939" w:rsidP="00FE3939">
      <w:pPr>
        <w:pStyle w:val="ListParagraph"/>
        <w:rPr>
          <w:rStyle w:val="Strong"/>
          <w:b w:val="0"/>
          <w:bCs w:val="0"/>
        </w:rPr>
      </w:pPr>
    </w:p>
    <w:p w14:paraId="2AF220D6" w14:textId="77777777" w:rsidR="00FE3939" w:rsidRPr="0084708A" w:rsidRDefault="00FE3939" w:rsidP="00FE3939">
      <w:pPr>
        <w:pStyle w:val="ListParagraph"/>
        <w:numPr>
          <w:ilvl w:val="0"/>
          <w:numId w:val="5"/>
        </w:numPr>
      </w:pPr>
      <w:r>
        <w:rPr>
          <w:rFonts w:eastAsiaTheme="majorEastAsia"/>
        </w:rPr>
        <w:t>T</w:t>
      </w:r>
      <w:r w:rsidRPr="00E244EF">
        <w:rPr>
          <w:rFonts w:eastAsiaTheme="majorEastAsia"/>
        </w:rPr>
        <w:t>o collaboratively develop practical recommendations for embedding resilience-building strategies into the curriculum</w:t>
      </w:r>
      <w:r w:rsidRPr="007B0D7F">
        <w:rPr>
          <w:rFonts w:eastAsiaTheme="majorEastAsia"/>
        </w:rPr>
        <w:t>.</w:t>
      </w:r>
    </w:p>
    <w:p w14:paraId="25E26D03" w14:textId="77777777" w:rsidR="00FE3939" w:rsidRPr="0084708A" w:rsidRDefault="00FE3939" w:rsidP="00FE3939">
      <w:pPr>
        <w:rPr>
          <w:lang w:val="en-GB" w:eastAsia="en-GB"/>
        </w:rPr>
      </w:pPr>
    </w:p>
    <w:p w14:paraId="7A7CD990" w14:textId="32011F9E" w:rsidR="00FE3939" w:rsidRPr="0084708A" w:rsidRDefault="00FE3939" w:rsidP="00FE3939">
      <w:pPr>
        <w:pStyle w:val="Heading3"/>
      </w:pPr>
      <w:bookmarkStart w:id="16" w:name="_Toc188167856"/>
      <w:bookmarkStart w:id="17" w:name="_Toc188540458"/>
      <w:r w:rsidRPr="0084708A">
        <w:t>Research Questions</w:t>
      </w:r>
      <w:bookmarkEnd w:id="16"/>
      <w:bookmarkEnd w:id="17"/>
    </w:p>
    <w:p w14:paraId="22B36279" w14:textId="77777777" w:rsidR="00FE3939" w:rsidRPr="0084708A" w:rsidRDefault="00FE3939" w:rsidP="00FE3939">
      <w:pPr>
        <w:ind w:firstLine="0"/>
        <w:rPr>
          <w:lang w:val="en-GB" w:eastAsia="en-GB"/>
        </w:rPr>
      </w:pPr>
    </w:p>
    <w:p w14:paraId="56D58ADB" w14:textId="77777777" w:rsidR="00FE3939" w:rsidRPr="0084708A" w:rsidRDefault="00FE3939" w:rsidP="00FE3939">
      <w:pPr>
        <w:ind w:left="709" w:hanging="283"/>
      </w:pPr>
      <w:r w:rsidRPr="0084708A">
        <w:t xml:space="preserve">1. </w:t>
      </w:r>
      <w:r w:rsidRPr="00E244EF">
        <w:t>What skills do Maltese post-secondary students and educators identify as essential for managing academic workloads and deadlines effectively</w:t>
      </w:r>
      <w:r w:rsidRPr="0084708A">
        <w:t>?</w:t>
      </w:r>
    </w:p>
    <w:p w14:paraId="593CD7A9" w14:textId="77777777" w:rsidR="00FE3939" w:rsidRPr="0084708A" w:rsidRDefault="00FE3939" w:rsidP="00FE3939">
      <w:pPr>
        <w:pStyle w:val="ListParagraph"/>
        <w:ind w:firstLine="0"/>
      </w:pPr>
    </w:p>
    <w:p w14:paraId="287A8115" w14:textId="4239D6F2" w:rsidR="00FE3939" w:rsidRDefault="00FE3939" w:rsidP="00FE3939">
      <w:pPr>
        <w:pStyle w:val="ListParagraph"/>
        <w:numPr>
          <w:ilvl w:val="0"/>
          <w:numId w:val="5"/>
        </w:numPr>
      </w:pPr>
      <w:r w:rsidRPr="00E640E9">
        <w:t>What actionable recommendations can be developed collaboratively for embedding resilience-building strategies into the curriculum</w:t>
      </w:r>
      <w:r w:rsidRPr="0084708A">
        <w:t>?</w:t>
      </w:r>
    </w:p>
    <w:p w14:paraId="176F02C5" w14:textId="77777777" w:rsidR="00FE3939" w:rsidRDefault="00FE3939" w:rsidP="00FE3939">
      <w:pPr>
        <w:ind w:firstLine="0"/>
        <w:rPr>
          <w:lang w:val="en-GB" w:eastAsia="en-GB"/>
        </w:rPr>
      </w:pPr>
    </w:p>
    <w:p w14:paraId="19697054" w14:textId="6BF37FC4" w:rsidR="00953365" w:rsidRDefault="00953365" w:rsidP="00953365">
      <w:pPr>
        <w:ind w:firstLine="0"/>
        <w:jc w:val="center"/>
        <w:rPr>
          <w:b/>
          <w:bCs/>
          <w:lang w:val="en-GB" w:eastAsia="en-GB"/>
        </w:rPr>
      </w:pPr>
      <w:r w:rsidRPr="00953365">
        <w:rPr>
          <w:b/>
          <w:bCs/>
          <w:lang w:val="en-GB" w:eastAsia="en-GB"/>
        </w:rPr>
        <w:t>Literature Review</w:t>
      </w:r>
    </w:p>
    <w:p w14:paraId="73500DC6" w14:textId="77777777" w:rsidR="00023687" w:rsidRPr="00953365" w:rsidRDefault="00023687" w:rsidP="00953365">
      <w:pPr>
        <w:ind w:firstLine="0"/>
        <w:jc w:val="center"/>
        <w:rPr>
          <w:b/>
          <w:bCs/>
          <w:lang w:val="en-GB" w:eastAsia="en-GB"/>
        </w:rPr>
      </w:pPr>
    </w:p>
    <w:p w14:paraId="040AB91B" w14:textId="77777777" w:rsidR="00023687" w:rsidRPr="0084708A" w:rsidRDefault="00023687" w:rsidP="00023687">
      <w:pPr>
        <w:pStyle w:val="Heading3"/>
      </w:pPr>
      <w:bookmarkStart w:id="18" w:name="_Toc188167860"/>
      <w:bookmarkStart w:id="19" w:name="_Toc188540461"/>
      <w:r w:rsidRPr="0084708A">
        <w:t>The Concept of Resilience in Education</w:t>
      </w:r>
      <w:bookmarkEnd w:id="18"/>
      <w:bookmarkEnd w:id="19"/>
    </w:p>
    <w:p w14:paraId="2A6BFD0D" w14:textId="77777777" w:rsidR="00023687" w:rsidRPr="0084708A" w:rsidRDefault="00023687" w:rsidP="00023687"/>
    <w:p w14:paraId="0BD7B710" w14:textId="77777777" w:rsidR="00023687" w:rsidRPr="0084708A" w:rsidRDefault="00023687" w:rsidP="00023687">
      <w:pPr>
        <w:rPr>
          <w:lang w:val="en-GB" w:eastAsia="en-GB"/>
        </w:rPr>
      </w:pPr>
      <w:r w:rsidRPr="0084708A">
        <w:rPr>
          <w:lang w:val="en-GB" w:eastAsia="en-GB"/>
        </w:rPr>
        <w:t>Resilience in education is defined as students’ ability to adapt to and overcome challenges, setbacks, and stressors in academic contexts while maintaining their wellbeing and achieving their goals (Dobson et al., 2023). Academic resilience, in this context, pertains to students’ capacity to manage stressors such as workloads and deadlines by fostering personal attributes.</w:t>
      </w:r>
      <w:r>
        <w:rPr>
          <w:lang w:val="en-GB" w:eastAsia="en-GB"/>
        </w:rPr>
        <w:t xml:space="preserve"> </w:t>
      </w:r>
      <w:r w:rsidRPr="0084708A">
        <w:rPr>
          <w:lang w:val="en-GB" w:eastAsia="en-GB"/>
        </w:rPr>
        <w:t>Cassidy (2015) highlights that students who perceive themselves as capable are better equipped to manage stress and maintain academic performance, reinforcing the importance of focusing on personal skills.</w:t>
      </w:r>
    </w:p>
    <w:p w14:paraId="6D96A465" w14:textId="77777777" w:rsidR="00023687" w:rsidRPr="0084708A" w:rsidRDefault="00023687" w:rsidP="00023687">
      <w:pPr>
        <w:rPr>
          <w:lang w:val="en-GB" w:eastAsia="en-GB"/>
        </w:rPr>
      </w:pPr>
    </w:p>
    <w:p w14:paraId="472DB0C0" w14:textId="77777777" w:rsidR="00023687" w:rsidRPr="0084708A" w:rsidRDefault="00023687" w:rsidP="00023687">
      <w:pPr>
        <w:pStyle w:val="Heading3"/>
        <w:rPr>
          <w:rFonts w:eastAsia="Times New Roman"/>
        </w:rPr>
      </w:pPr>
      <w:bookmarkStart w:id="20" w:name="_Toc188167861"/>
      <w:bookmarkStart w:id="21" w:name="_Toc188540462"/>
      <w:r w:rsidRPr="0084708A">
        <w:rPr>
          <w:rFonts w:eastAsia="Times New Roman"/>
        </w:rPr>
        <w:t>Local Studies</w:t>
      </w:r>
      <w:bookmarkEnd w:id="20"/>
      <w:bookmarkEnd w:id="21"/>
    </w:p>
    <w:p w14:paraId="3EE28B8B" w14:textId="77777777" w:rsidR="00023687" w:rsidRPr="0084708A" w:rsidRDefault="00023687" w:rsidP="00023687">
      <w:pPr>
        <w:rPr>
          <w:lang w:val="en-GB" w:eastAsia="en-GB"/>
        </w:rPr>
      </w:pPr>
    </w:p>
    <w:p w14:paraId="14102C84" w14:textId="77777777" w:rsidR="00023687" w:rsidRPr="0084708A" w:rsidRDefault="00023687" w:rsidP="00023687">
      <w:pPr>
        <w:rPr>
          <w:lang w:val="en-GB" w:eastAsia="en-GB"/>
        </w:rPr>
      </w:pPr>
      <w:r w:rsidRPr="0084708A">
        <w:rPr>
          <w:lang w:val="en-GB" w:eastAsia="en-GB"/>
        </w:rPr>
        <w:t xml:space="preserve">The </w:t>
      </w:r>
      <w:r w:rsidRPr="0084708A">
        <w:rPr>
          <w:i/>
          <w:iCs/>
          <w:lang w:val="en-GB" w:eastAsia="en-GB"/>
        </w:rPr>
        <w:t>Working Group on the Future of Post-Secondary Education in Malta and Gozo</w:t>
      </w:r>
      <w:r w:rsidRPr="0084708A">
        <w:rPr>
          <w:lang w:val="en-GB" w:eastAsia="en-GB"/>
        </w:rPr>
        <w:t xml:space="preserve"> (MEDE, 2017) identified a critical gap in post-secondary education: the reliance on extensive subject syllabi and a predominantly lecture-based teaching approach. This "one-size-fits-all" model (MEDE, 2017, p. 28), they argued, inadequately addresses the diverse needs of learners at this stage. Among the unmet needs highlighted were the development of critical personal skills including adaptability, emotional regulation, and problem-solving, skills essential for fostering resilience against academic stressors (MEDE, 2017). </w:t>
      </w:r>
    </w:p>
    <w:p w14:paraId="4B886F56" w14:textId="77777777" w:rsidR="00023687" w:rsidRPr="0084708A" w:rsidRDefault="00023687" w:rsidP="00023687">
      <w:pPr>
        <w:rPr>
          <w:lang w:val="en-GB" w:eastAsia="en-GB"/>
        </w:rPr>
      </w:pPr>
    </w:p>
    <w:p w14:paraId="4C241699" w14:textId="77777777" w:rsidR="00023687" w:rsidRPr="0084708A" w:rsidRDefault="00023687" w:rsidP="00023687">
      <w:pPr>
        <w:rPr>
          <w:lang w:val="en-GB" w:eastAsia="en-GB"/>
        </w:rPr>
      </w:pPr>
      <w:r w:rsidRPr="0084708A">
        <w:rPr>
          <w:lang w:val="en-GB" w:eastAsia="en-GB"/>
        </w:rPr>
        <w:t xml:space="preserve">The report called for a paradigm shift, advocating for a more holistic approach to education that prioritises personal growth and resilience over rote academic content and exam preparation (MEDE, 2017). It proposed curriculum reforms, such as modular design, which </w:t>
      </w:r>
      <w:r w:rsidRPr="009416E9">
        <w:rPr>
          <w:lang w:val="en-GB" w:eastAsia="en-GB"/>
        </w:rPr>
        <w:t xml:space="preserve">would allow for greater flexibility and provide students with opportunities to manage their </w:t>
      </w:r>
      <w:r w:rsidRPr="009416E9">
        <w:rPr>
          <w:lang w:val="en-GB" w:eastAsia="en-GB"/>
        </w:rPr>
        <w:lastRenderedPageBreak/>
        <w:t xml:space="preserve">learning more sustainably while cultivating essential life skills. Similarly, a recent editorial by </w:t>
      </w:r>
      <w:r w:rsidRPr="009416E9">
        <w:rPr>
          <w:i/>
          <w:iCs/>
          <w:lang w:val="en-GB" w:eastAsia="en-GB"/>
        </w:rPr>
        <w:t>Times of Malta</w:t>
      </w:r>
      <w:r w:rsidRPr="009416E9">
        <w:rPr>
          <w:lang w:val="en-GB" w:eastAsia="en-GB"/>
        </w:rPr>
        <w:t xml:space="preserve"> (2024) echoed these concerns, emphasising the importance of integrating resilience training and emotional intelligence into post-secondary curricula. The editorial</w:t>
      </w:r>
      <w:r w:rsidRPr="0084708A">
        <w:rPr>
          <w:lang w:val="en-GB" w:eastAsia="en-GB"/>
        </w:rPr>
        <w:t xml:space="preserve"> highlighted a critical disconnect between academic learning and the practical skills employers seek, calling for an education system that prepares students to thrive in both academic and professional contexts.</w:t>
      </w:r>
    </w:p>
    <w:p w14:paraId="1F83DC0D" w14:textId="77777777" w:rsidR="00023687" w:rsidRPr="0084708A" w:rsidRDefault="00023687" w:rsidP="00023687">
      <w:pPr>
        <w:rPr>
          <w:lang w:val="en-GB" w:eastAsia="en-GB"/>
        </w:rPr>
      </w:pPr>
    </w:p>
    <w:p w14:paraId="209DAADA" w14:textId="77777777" w:rsidR="00023687" w:rsidRPr="0084708A" w:rsidRDefault="00023687" w:rsidP="00023687">
      <w:pPr>
        <w:rPr>
          <w:lang w:val="en-GB" w:eastAsia="en-GB"/>
        </w:rPr>
      </w:pPr>
      <w:r w:rsidRPr="0084708A">
        <w:t xml:space="preserve">This study seeks to address this critical gap by exploring how resilience can be cultivated among post-secondary students through the perspectives of both students and educators. It aligns with the </w:t>
      </w:r>
      <w:r w:rsidRPr="0084708A">
        <w:rPr>
          <w:i/>
          <w:iCs/>
        </w:rPr>
        <w:t>Maltese Education Strategy 2024–30</w:t>
      </w:r>
      <w:r w:rsidRPr="0084708A">
        <w:t xml:space="preserve">, which prioritises wellbeing as a central pillar alongside educational achievement (MEYR, 2023). </w:t>
      </w:r>
    </w:p>
    <w:p w14:paraId="5BB035A6" w14:textId="77777777" w:rsidR="00023687" w:rsidRPr="0084708A" w:rsidRDefault="00023687" w:rsidP="00023687">
      <w:pPr>
        <w:rPr>
          <w:lang w:val="en-GB" w:eastAsia="en-GB"/>
        </w:rPr>
      </w:pPr>
    </w:p>
    <w:p w14:paraId="120713F3" w14:textId="77777777" w:rsidR="00023687" w:rsidRPr="0084708A" w:rsidRDefault="00023687" w:rsidP="00023687">
      <w:pPr>
        <w:pStyle w:val="Heading3"/>
      </w:pPr>
      <w:bookmarkStart w:id="22" w:name="_Toc188167865"/>
      <w:bookmarkStart w:id="23" w:name="_Toc188540463"/>
      <w:r w:rsidRPr="0084708A">
        <w:t>The Vital Role of Educators in Teaching Skills for Academic Resilience</w:t>
      </w:r>
      <w:bookmarkEnd w:id="22"/>
      <w:bookmarkEnd w:id="23"/>
    </w:p>
    <w:p w14:paraId="3495014F" w14:textId="77777777" w:rsidR="00023687" w:rsidRPr="0084708A" w:rsidRDefault="00023687" w:rsidP="00023687">
      <w:pPr>
        <w:rPr>
          <w:lang w:val="en-GB" w:eastAsia="en-GB"/>
        </w:rPr>
      </w:pPr>
    </w:p>
    <w:p w14:paraId="535FF7BC" w14:textId="77777777" w:rsidR="00023687" w:rsidRPr="0084708A" w:rsidRDefault="00023687" w:rsidP="00023687">
      <w:pPr>
        <w:rPr>
          <w:lang w:val="en-GB" w:eastAsia="en-GB"/>
        </w:rPr>
      </w:pPr>
      <w:r w:rsidRPr="0084708A">
        <w:rPr>
          <w:lang w:val="en-GB" w:eastAsia="en-GB"/>
        </w:rPr>
        <w:t>Educators play a crucial role in fostering academic resilience by creating supportive learning environments and equipping students with essential coping skills. The MEDE (2017) report identified inadequate teacher training as a key barrier to resilience-building and recommended tailored professional development programmes to address this gap. These programmes aim to enhance educators' ability to nurture socio-emotional growth and resilience in students through reflective teaching strategies and setting high yet attainable expectations.</w:t>
      </w:r>
    </w:p>
    <w:p w14:paraId="23AFBE71" w14:textId="77777777" w:rsidR="00023687" w:rsidRPr="0084708A" w:rsidRDefault="00023687" w:rsidP="00023687">
      <w:pPr>
        <w:rPr>
          <w:lang w:val="en-GB" w:eastAsia="en-GB"/>
        </w:rPr>
      </w:pPr>
    </w:p>
    <w:p w14:paraId="2829B20B" w14:textId="77777777" w:rsidR="00023687" w:rsidRPr="0084708A" w:rsidRDefault="00023687" w:rsidP="00023687">
      <w:pPr>
        <w:rPr>
          <w:lang w:val="en-GB" w:eastAsia="en-GB"/>
        </w:rPr>
      </w:pPr>
      <w:r w:rsidRPr="0084708A">
        <w:rPr>
          <w:lang w:val="en-GB" w:eastAsia="en-GB"/>
        </w:rPr>
        <w:t>Due to their close interactions with students, educators are well-positioned to observe and understand individual strengths and challenges, allowing them to provide personalised support and targeted interventions (Cassidy, 2015). This tailored approach helps students manage academic stressors such as workloads and deadlines more effectively (</w:t>
      </w:r>
      <w:proofErr w:type="spellStart"/>
      <w:r w:rsidRPr="0084708A">
        <w:rPr>
          <w:lang w:val="en-GB" w:eastAsia="en-GB"/>
        </w:rPr>
        <w:t>Jowkar</w:t>
      </w:r>
      <w:proofErr w:type="spellEnd"/>
      <w:r w:rsidRPr="0084708A">
        <w:rPr>
          <w:lang w:val="en-GB" w:eastAsia="en-GB"/>
        </w:rPr>
        <w:t xml:space="preserve"> et al., 2014). Teachers can further promote key resilience-building skills, including time management, emotional regulation, and problem-solving, by integrating these concepts into daily lessons and modelling their application (Beale &amp; Konstantinou, 2023; Jalalian-</w:t>
      </w:r>
      <w:proofErr w:type="spellStart"/>
      <w:r w:rsidRPr="0084708A">
        <w:rPr>
          <w:lang w:val="en-GB" w:eastAsia="en-GB"/>
        </w:rPr>
        <w:t>Chursky</w:t>
      </w:r>
      <w:proofErr w:type="spellEnd"/>
      <w:r w:rsidRPr="0084708A">
        <w:rPr>
          <w:lang w:val="en-GB" w:eastAsia="en-GB"/>
        </w:rPr>
        <w:t xml:space="preserve"> &amp; Tausen, 2024).</w:t>
      </w:r>
    </w:p>
    <w:p w14:paraId="62A0244A" w14:textId="77777777" w:rsidR="00023687" w:rsidRPr="0084708A" w:rsidRDefault="00023687" w:rsidP="00023687">
      <w:pPr>
        <w:rPr>
          <w:lang w:val="en-GB" w:eastAsia="en-GB"/>
        </w:rPr>
      </w:pPr>
    </w:p>
    <w:p w14:paraId="349D11FC" w14:textId="77777777" w:rsidR="00023687" w:rsidRPr="0084708A" w:rsidRDefault="00023687" w:rsidP="00023687">
      <w:pPr>
        <w:rPr>
          <w:lang w:val="en-GB" w:eastAsia="en-GB"/>
        </w:rPr>
      </w:pPr>
      <w:r w:rsidRPr="0084708A">
        <w:rPr>
          <w:lang w:val="en-GB" w:eastAsia="en-GB"/>
        </w:rPr>
        <w:t>Professional development programmes focusing on socio-emotional learning (SEL), resilience strategies, and adaptive teaching methods have proven effective in enhancing students’ coping mechanisms and academic performance (Durlak et al., 2011). Encouraging a growth mindset within students enables them to view challenges as opportunities for development rather than obstacles (Dweck, 2016).</w:t>
      </w:r>
    </w:p>
    <w:p w14:paraId="07D24C78" w14:textId="77777777" w:rsidR="00953365" w:rsidRPr="00FE3939" w:rsidRDefault="00953365" w:rsidP="00FE3939">
      <w:pPr>
        <w:ind w:firstLine="0"/>
        <w:rPr>
          <w:lang w:val="en-GB" w:eastAsia="en-GB"/>
        </w:rPr>
      </w:pPr>
    </w:p>
    <w:p w14:paraId="0CC950E2" w14:textId="334FF008" w:rsidR="00C10B27" w:rsidRPr="0084708A" w:rsidRDefault="00C10B27" w:rsidP="00890F27">
      <w:pPr>
        <w:pStyle w:val="Heading3"/>
      </w:pPr>
      <w:bookmarkStart w:id="24" w:name="_Toc188540455"/>
      <w:r w:rsidRPr="0084708A">
        <w:t>Theoretical Framework</w:t>
      </w:r>
      <w:bookmarkEnd w:id="13"/>
      <w:bookmarkEnd w:id="24"/>
    </w:p>
    <w:p w14:paraId="223098E3" w14:textId="77777777" w:rsidR="00C10B27" w:rsidRPr="0084708A" w:rsidRDefault="00C10B27" w:rsidP="00FE6E39">
      <w:pPr>
        <w:rPr>
          <w:lang w:val="en-GB" w:eastAsia="en-GB"/>
        </w:rPr>
      </w:pPr>
    </w:p>
    <w:p w14:paraId="3D660B71" w14:textId="77777777" w:rsidR="00C10B27" w:rsidRPr="0084708A" w:rsidRDefault="00C10B27" w:rsidP="00FE6E39">
      <w:pPr>
        <w:rPr>
          <w:lang w:val="en-GB" w:eastAsia="en-GB"/>
        </w:rPr>
      </w:pPr>
      <w:r w:rsidRPr="0084708A">
        <w:rPr>
          <w:lang w:val="en-GB" w:eastAsia="en-GB"/>
        </w:rPr>
        <w:t>This study is grounded in Lazarus and Folkman’s Transactional Theory of Stress and Coping, originally developed in 1984 and refined over subsequent years (Lazarus &amp; Folkman, 1984; Lazarus, 1998). This theory offers a robust framework for understanding how individuals perceive and respond to stressors by emphasising the dynamic interplay between cognitive appraisal and coping strategies. According to the theory, stress arises when individuals appraise a situation as surpassing their available resources to manage it effectively, leading to an imbalance between perceived demands and coping capacity. This perspective highlights that stress is not merely a consequence of external events but is largely shaped by an individual's subjective interpretation and their chosen coping mechanisms (Lazarus, 1998).</w:t>
      </w:r>
    </w:p>
    <w:p w14:paraId="0ED1B2C3" w14:textId="77777777" w:rsidR="00C10B27" w:rsidRPr="0084708A" w:rsidRDefault="00C10B27" w:rsidP="00FE6E39">
      <w:pPr>
        <w:rPr>
          <w:lang w:val="en-GB" w:eastAsia="en-GB"/>
        </w:rPr>
      </w:pPr>
    </w:p>
    <w:p w14:paraId="1DC3ABF9" w14:textId="06621AFB" w:rsidR="00C10B27" w:rsidRPr="0084708A" w:rsidRDefault="00C10B27" w:rsidP="00FE6E39">
      <w:pPr>
        <w:rPr>
          <w:lang w:val="en-GB" w:eastAsia="en-GB"/>
        </w:rPr>
      </w:pPr>
      <w:r w:rsidRPr="0084708A">
        <w:rPr>
          <w:lang w:val="en-GB" w:eastAsia="en-GB"/>
        </w:rPr>
        <w:lastRenderedPageBreak/>
        <w:t xml:space="preserve">To further enrich the study, metacognition is also considered an essential factor in shaping students' perceptions and responses to academic stressors </w:t>
      </w:r>
      <w:r w:rsidRPr="0084708A">
        <w:t>(Flavell, 1976, 1979)</w:t>
      </w:r>
      <w:r w:rsidRPr="0084708A">
        <w:rPr>
          <w:lang w:val="en-GB" w:eastAsia="en-GB"/>
        </w:rPr>
        <w:t>. Metacognition, or the ability to reflect on and regulate one’s own cognitive processes, plays a critical role in how individuals assess and interpret challenges (Keable, 2022). By fostering metacognitive skills, students become more adept at evaluating their experiences, recognising their cognitive strengths and limitations, and adopting more effective coping strategies (</w:t>
      </w:r>
      <w:proofErr w:type="spellStart"/>
      <w:r w:rsidRPr="0084708A">
        <w:rPr>
          <w:lang w:val="en-GB" w:eastAsia="en-GB"/>
        </w:rPr>
        <w:t>Drigas</w:t>
      </w:r>
      <w:proofErr w:type="spellEnd"/>
      <w:r w:rsidRPr="0084708A">
        <w:rPr>
          <w:lang w:val="en-GB" w:eastAsia="en-GB"/>
        </w:rPr>
        <w:t xml:space="preserve"> &amp; </w:t>
      </w:r>
      <w:proofErr w:type="spellStart"/>
      <w:r w:rsidRPr="0084708A">
        <w:rPr>
          <w:lang w:val="en-GB" w:eastAsia="en-GB"/>
        </w:rPr>
        <w:t>Mitsea</w:t>
      </w:r>
      <w:proofErr w:type="spellEnd"/>
      <w:r w:rsidRPr="0084708A">
        <w:rPr>
          <w:lang w:val="en-GB" w:eastAsia="en-GB"/>
        </w:rPr>
        <w:t xml:space="preserve">, 2020). Integrating metacognitive awareness within </w:t>
      </w:r>
      <w:r w:rsidR="005C1CEA" w:rsidRPr="0084708A">
        <w:rPr>
          <w:lang w:val="en-GB" w:eastAsia="en-GB"/>
        </w:rPr>
        <w:t>Lazarus and Folkman’s transactional theory of</w:t>
      </w:r>
      <w:r w:rsidRPr="0084708A">
        <w:rPr>
          <w:lang w:val="en-GB" w:eastAsia="en-GB"/>
        </w:rPr>
        <w:t xml:space="preserve"> stress and coping </w:t>
      </w:r>
      <w:r w:rsidR="005C1CEA" w:rsidRPr="0084708A">
        <w:rPr>
          <w:lang w:val="en-GB" w:eastAsia="en-GB"/>
        </w:rPr>
        <w:t xml:space="preserve">(1984), </w:t>
      </w:r>
      <w:r w:rsidRPr="0084708A">
        <w:rPr>
          <w:lang w:val="en-GB" w:eastAsia="en-GB"/>
        </w:rPr>
        <w:t>allows for a more comprehensive understanding of how students can develop resilience in the face of academic pressures.</w:t>
      </w:r>
    </w:p>
    <w:p w14:paraId="76A92DB8" w14:textId="77777777" w:rsidR="00C10B27" w:rsidRPr="0084708A" w:rsidRDefault="00C10B27" w:rsidP="00FE6E39">
      <w:pPr>
        <w:rPr>
          <w:lang w:val="en-GB" w:eastAsia="en-GB"/>
        </w:rPr>
      </w:pPr>
    </w:p>
    <w:p w14:paraId="534BE9DF" w14:textId="45646877" w:rsidR="00C10B27" w:rsidRPr="0084708A" w:rsidRDefault="00C10B27" w:rsidP="00FE6E39">
      <w:pPr>
        <w:rPr>
          <w:lang w:eastAsia="en-GB"/>
        </w:rPr>
      </w:pPr>
      <w:r w:rsidRPr="0084708A">
        <w:rPr>
          <w:lang w:eastAsia="en-GB"/>
        </w:rPr>
        <w:t>The transactional nature of the theory emphasises that stress is a dynamic process, shaped by the interplay between the individual and their environment. Coping, as described by Lazarus and Folkman, involves two key strategies: problem-focused coping, where individuals take action to address the source of stress, and emotion-focused coping, where they manage their emotional response to the stressor (</w:t>
      </w:r>
      <w:r w:rsidRPr="0084708A">
        <w:rPr>
          <w:lang w:val="en-GB" w:eastAsia="en-GB"/>
        </w:rPr>
        <w:t>Lazarus &amp; Folkman, 1984; Lazarus, 1998</w:t>
      </w:r>
      <w:r w:rsidRPr="0084708A">
        <w:rPr>
          <w:lang w:eastAsia="en-GB"/>
        </w:rPr>
        <w:t>). For students, developing effective coping strategies is crucial to managing workloads and deadlines while maintaining their overall wellbeing.</w:t>
      </w:r>
    </w:p>
    <w:p w14:paraId="2257FDEF" w14:textId="77777777" w:rsidR="00C10B27" w:rsidRPr="0084708A" w:rsidRDefault="00C10B27" w:rsidP="00FE6E39">
      <w:pPr>
        <w:rPr>
          <w:lang w:eastAsia="en-GB"/>
        </w:rPr>
      </w:pPr>
    </w:p>
    <w:p w14:paraId="24B57F36" w14:textId="77777777" w:rsidR="00C10B27" w:rsidRPr="0084708A" w:rsidRDefault="00C10B27" w:rsidP="00FE6E39">
      <w:pPr>
        <w:keepNext/>
        <w:ind w:firstLine="0"/>
      </w:pPr>
      <w:r w:rsidRPr="0084708A">
        <w:rPr>
          <w:noProof/>
        </w:rPr>
        <w:drawing>
          <wp:inline distT="0" distB="0" distL="0" distR="0" wp14:anchorId="05E7A91A" wp14:editId="234F00B2">
            <wp:extent cx="5731510" cy="2446867"/>
            <wp:effectExtent l="0" t="0" r="2540" b="0"/>
            <wp:docPr id="187141749" name="Picture 1" descr="Transactional Model of Stress and Coping (Lazarus &amp; Folkman,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actional Model of Stress and Coping (Lazarus &amp; Folkman, 1984)."/>
                    <pic:cNvPicPr>
                      <a:picLocks noChangeAspect="1" noChangeArrowheads="1"/>
                    </pic:cNvPicPr>
                  </pic:nvPicPr>
                  <pic:blipFill rotWithShape="1">
                    <a:blip r:embed="rId7">
                      <a:extLst>
                        <a:ext uri="{28A0092B-C50C-407E-A947-70E740481C1C}">
                          <a14:useLocalDpi xmlns:a14="http://schemas.microsoft.com/office/drawing/2010/main" val="0"/>
                        </a:ext>
                      </a:extLst>
                    </a:blip>
                    <a:srcRect b="35422"/>
                    <a:stretch/>
                  </pic:blipFill>
                  <pic:spPr bwMode="auto">
                    <a:xfrm>
                      <a:off x="0" y="0"/>
                      <a:ext cx="5731510" cy="2446867"/>
                    </a:xfrm>
                    <a:prstGeom prst="rect">
                      <a:avLst/>
                    </a:prstGeom>
                    <a:noFill/>
                    <a:ln>
                      <a:noFill/>
                    </a:ln>
                    <a:extLst>
                      <a:ext uri="{53640926-AAD7-44D8-BBD7-CCE9431645EC}">
                        <a14:shadowObscured xmlns:a14="http://schemas.microsoft.com/office/drawing/2010/main"/>
                      </a:ext>
                    </a:extLst>
                  </pic:spPr>
                </pic:pic>
              </a:graphicData>
            </a:graphic>
          </wp:inline>
        </w:drawing>
      </w:r>
    </w:p>
    <w:p w14:paraId="61DDF5BC" w14:textId="47FB26BB" w:rsidR="00C10B27" w:rsidRPr="0084708A" w:rsidRDefault="00C10B27" w:rsidP="00BC01C0">
      <w:pPr>
        <w:pStyle w:val="Caption"/>
        <w:rPr>
          <w:lang w:eastAsia="en-GB"/>
        </w:rPr>
      </w:pPr>
      <w:bookmarkStart w:id="25" w:name="_Toc188168273"/>
      <w:bookmarkStart w:id="26" w:name="_Toc188540369"/>
      <w:r w:rsidRPr="0084708A">
        <w:t xml:space="preserve">Figure </w:t>
      </w:r>
      <w:r w:rsidR="00BC01C0">
        <w:t>2</w:t>
      </w:r>
      <w:r w:rsidRPr="0084708A">
        <w:t>: A diagram summarising Lazarus and Folkman’s Transactional Theory of Stress and Coping (Margaret et al., 2018)</w:t>
      </w:r>
      <w:bookmarkEnd w:id="25"/>
      <w:bookmarkEnd w:id="26"/>
    </w:p>
    <w:p w14:paraId="1B291334" w14:textId="77777777" w:rsidR="00C10B27" w:rsidRPr="0084708A" w:rsidRDefault="00C10B27" w:rsidP="00FE6E39">
      <w:pPr>
        <w:contextualSpacing w:val="0"/>
        <w:rPr>
          <w:lang w:val="en-GB" w:eastAsia="en-GB"/>
        </w:rPr>
      </w:pPr>
    </w:p>
    <w:p w14:paraId="11D26692" w14:textId="77777777" w:rsidR="00C10B27" w:rsidRPr="0084708A" w:rsidRDefault="00C10B27" w:rsidP="00FE6E39">
      <w:pPr>
        <w:contextualSpacing w:val="0"/>
        <w:rPr>
          <w:lang w:val="en-GB" w:eastAsia="en-GB"/>
        </w:rPr>
      </w:pPr>
      <w:r w:rsidRPr="0084708A">
        <w:rPr>
          <w:lang w:val="en-GB" w:eastAsia="en-GB"/>
        </w:rPr>
        <w:t xml:space="preserve">Metacognitive strategies, such as self-regulation, </w:t>
      </w:r>
      <w:proofErr w:type="gramStart"/>
      <w:r w:rsidRPr="0084708A">
        <w:rPr>
          <w:lang w:val="en-GB" w:eastAsia="en-GB"/>
        </w:rPr>
        <w:t>goal-setting</w:t>
      </w:r>
      <w:proofErr w:type="gramEnd"/>
      <w:r w:rsidRPr="0084708A">
        <w:rPr>
          <w:lang w:val="en-GB" w:eastAsia="en-GB"/>
        </w:rPr>
        <w:t>, progress monitoring, and adaptive decision-making, enable students to take ownership of their learning journey and develop resilience in the face of academic challenges (</w:t>
      </w:r>
      <w:proofErr w:type="spellStart"/>
      <w:r w:rsidRPr="0084708A">
        <w:rPr>
          <w:lang w:val="en-GB" w:eastAsia="en-GB"/>
        </w:rPr>
        <w:t>Drigas</w:t>
      </w:r>
      <w:proofErr w:type="spellEnd"/>
      <w:r w:rsidRPr="0084708A">
        <w:rPr>
          <w:lang w:val="en-GB" w:eastAsia="en-GB"/>
        </w:rPr>
        <w:t xml:space="preserve"> &amp; </w:t>
      </w:r>
      <w:proofErr w:type="spellStart"/>
      <w:r w:rsidRPr="0084708A">
        <w:rPr>
          <w:lang w:val="en-GB" w:eastAsia="en-GB"/>
        </w:rPr>
        <w:t>Mitsea</w:t>
      </w:r>
      <w:proofErr w:type="spellEnd"/>
      <w:r w:rsidRPr="0084708A">
        <w:rPr>
          <w:lang w:val="en-GB" w:eastAsia="en-GB"/>
        </w:rPr>
        <w:t>, 2020).</w:t>
      </w:r>
    </w:p>
    <w:p w14:paraId="4FB596C0" w14:textId="77777777" w:rsidR="00C10B27" w:rsidRPr="0084708A" w:rsidRDefault="00C10B27" w:rsidP="00FE6E39">
      <w:pPr>
        <w:contextualSpacing w:val="0"/>
        <w:rPr>
          <w:lang w:val="en-GB" w:eastAsia="en-GB"/>
        </w:rPr>
      </w:pPr>
    </w:p>
    <w:p w14:paraId="046527EF" w14:textId="77777777" w:rsidR="00C10B27" w:rsidRPr="0084708A" w:rsidRDefault="00C10B27" w:rsidP="00FE6E39">
      <w:pPr>
        <w:keepNext/>
        <w:ind w:firstLine="0"/>
        <w:contextualSpacing w:val="0"/>
      </w:pPr>
      <w:r w:rsidRPr="0084708A">
        <w:rPr>
          <w:noProof/>
        </w:rPr>
        <w:lastRenderedPageBreak/>
        <w:drawing>
          <wp:inline distT="0" distB="0" distL="0" distR="0" wp14:anchorId="28DA739F" wp14:editId="5F927520">
            <wp:extent cx="5731510" cy="2969260"/>
            <wp:effectExtent l="0" t="0" r="2540" b="2540"/>
            <wp:docPr id="598981053" name="Picture 1" descr="Theoretical Model of Metacogni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oretical Model of Metacognitio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969260"/>
                    </a:xfrm>
                    <a:prstGeom prst="rect">
                      <a:avLst/>
                    </a:prstGeom>
                    <a:noFill/>
                    <a:ln>
                      <a:noFill/>
                    </a:ln>
                  </pic:spPr>
                </pic:pic>
              </a:graphicData>
            </a:graphic>
          </wp:inline>
        </w:drawing>
      </w:r>
    </w:p>
    <w:p w14:paraId="37B9A9AE" w14:textId="51C708D6" w:rsidR="00C10B27" w:rsidRPr="0084708A" w:rsidRDefault="00C10B27" w:rsidP="00BC01C0">
      <w:pPr>
        <w:pStyle w:val="Caption"/>
        <w:rPr>
          <w:lang w:val="en-GB" w:eastAsia="en-GB"/>
        </w:rPr>
      </w:pPr>
      <w:bookmarkStart w:id="27" w:name="_Toc188540370"/>
      <w:r w:rsidRPr="0084708A">
        <w:t xml:space="preserve">Figure </w:t>
      </w:r>
      <w:r w:rsidR="00BC01C0">
        <w:t>3</w:t>
      </w:r>
      <w:r w:rsidRPr="0084708A">
        <w:t xml:space="preserve">: </w:t>
      </w:r>
      <w:proofErr w:type="spellStart"/>
      <w:r w:rsidRPr="0084708A">
        <w:t>Theortical</w:t>
      </w:r>
      <w:proofErr w:type="spellEnd"/>
      <w:r w:rsidRPr="0084708A">
        <w:t xml:space="preserve"> model of metacognition (Ellestad, 2014)</w:t>
      </w:r>
      <w:bookmarkEnd w:id="27"/>
    </w:p>
    <w:p w14:paraId="68AF5857" w14:textId="77777777" w:rsidR="00C10B27" w:rsidRPr="0084708A" w:rsidRDefault="00C10B27" w:rsidP="00FE6E39">
      <w:pPr>
        <w:contextualSpacing w:val="0"/>
        <w:rPr>
          <w:lang w:val="en-GB" w:eastAsia="en-GB"/>
        </w:rPr>
      </w:pPr>
    </w:p>
    <w:p w14:paraId="29DD0388" w14:textId="02437DB2" w:rsidR="00C10B27" w:rsidRPr="0084708A" w:rsidRDefault="00CF6C05" w:rsidP="00FE6E39">
      <w:pPr>
        <w:contextualSpacing w:val="0"/>
      </w:pPr>
      <w:r>
        <w:t>Ellestad (2014) explains that t</w:t>
      </w:r>
      <w:r w:rsidR="00C10B27" w:rsidRPr="0084708A">
        <w:t>he theoretical model of metacognition consists of two main components: metacognitive knowledge and metacognitive regulation. Metacognitive knowledge refers to an individual's awareness and understanding of their cognitive processes, which can be categorised into three aspects: knowledge of persons, knowledge of tasks, and knowledge of strategy. Knowledge of persons involves understanding personal abilities and characteristics, as well as recognising the influence of others and universal factors on learning. Knowledge of tasks pertains to an awareness of the nature and demands of different learning activities, enabling individuals to tailor their approach accordingly. Knowledge of strategy refers to the awareness of various techniques and methods that can enhance cognitive performance and problem-solving efficiency. On the other hand, metacognitive regulation focuses on the processes individuals use to control and direct their cognitive activities. It comprises four key functions: planning, monitoring, evaluating, and control. Planning involves setting learning goals and selecting appropriate strategies to achieve them effectively. Monitoring refers to the continuous assessment of one’s progress and comprehension throughout the learning process. Evaluating entails reflecting on the effectiveness of the strategies used and determining whether adjustments are needed. Lastly, control involves making necessary modifications to improve performance and achieve desired outcomes (Ellestad, 2014).</w:t>
      </w:r>
    </w:p>
    <w:p w14:paraId="1EDD50E6" w14:textId="77777777" w:rsidR="00C10B27" w:rsidRPr="0084708A" w:rsidRDefault="00C10B27" w:rsidP="00FE6E39">
      <w:pPr>
        <w:contextualSpacing w:val="0"/>
        <w:rPr>
          <w:lang w:val="en-GB" w:eastAsia="en-GB"/>
        </w:rPr>
      </w:pPr>
    </w:p>
    <w:p w14:paraId="2B754EE3" w14:textId="77777777" w:rsidR="00C10B27" w:rsidRPr="0084708A" w:rsidRDefault="00C10B27" w:rsidP="00FE6E39">
      <w:pPr>
        <w:contextualSpacing w:val="0"/>
        <w:rPr>
          <w:lang w:val="en-GB" w:eastAsia="en-GB"/>
        </w:rPr>
      </w:pPr>
      <w:r w:rsidRPr="0084708A">
        <w:rPr>
          <w:lang w:val="en-GB" w:eastAsia="en-GB"/>
        </w:rPr>
        <w:t>The combination of Lazarus and Folkman’s theory (1984) with metacognitive strategies underscores the significance of empowering students to reframe their perceptions of stressors and resilience, ultimately helping them regain a sense of control over their academic experiences. This holistic approach allows educators to create a learning environment that not only acknowledges the cognitive and emotional dimensions of stress but also supports students in developing both problem-focused and emotion-focused coping mechanisms. These coping strategies are essential for helping students navigate academic pressures more effectively and foster a proactive approach to managing their workload and deadlines.</w:t>
      </w:r>
    </w:p>
    <w:p w14:paraId="4E60314E" w14:textId="77777777" w:rsidR="00C10B27" w:rsidRPr="0084708A" w:rsidRDefault="00C10B27" w:rsidP="00FE6E39">
      <w:pPr>
        <w:contextualSpacing w:val="0"/>
        <w:rPr>
          <w:lang w:val="en-GB" w:eastAsia="en-GB"/>
        </w:rPr>
      </w:pPr>
    </w:p>
    <w:p w14:paraId="5B506B2E" w14:textId="03D346E9" w:rsidR="00C10B27" w:rsidRPr="0084708A" w:rsidRDefault="00C10B27" w:rsidP="00890F27">
      <w:pPr>
        <w:pStyle w:val="Heading3"/>
      </w:pPr>
      <w:bookmarkStart w:id="28" w:name="_Toc188540456"/>
      <w:r w:rsidRPr="0084708A">
        <w:t>Strengths and Weaknesses of the Theoretical Framework</w:t>
      </w:r>
      <w:bookmarkEnd w:id="28"/>
    </w:p>
    <w:p w14:paraId="372CA87E" w14:textId="77777777" w:rsidR="00C10B27" w:rsidRPr="0084708A" w:rsidRDefault="00C10B27" w:rsidP="00FE6E39">
      <w:pPr>
        <w:contextualSpacing w:val="0"/>
        <w:rPr>
          <w:lang w:val="en-GB" w:eastAsia="en-GB"/>
        </w:rPr>
      </w:pPr>
    </w:p>
    <w:p w14:paraId="4748A903" w14:textId="77777777" w:rsidR="00C10B27" w:rsidRPr="0084708A" w:rsidRDefault="00C10B27" w:rsidP="00FE6E39">
      <w:pPr>
        <w:rPr>
          <w:lang w:val="en-GB" w:eastAsia="en-GB"/>
        </w:rPr>
      </w:pPr>
      <w:r w:rsidRPr="0084708A">
        <w:rPr>
          <w:lang w:val="en-GB" w:eastAsia="en-GB"/>
        </w:rPr>
        <w:lastRenderedPageBreak/>
        <w:t xml:space="preserve">Lazarus and Folkman’s Transactional Theory of Stress and Coping (Lazarus &amp; Folkman, 1984; Lazarus, 1998) is well-suited for this study due to its focus on how individuals evaluate and respond to stressors. The theory's primary appraisal process allows students to assess whether academic challenges, such as workloads and deadlines, threaten their wellbeing, while the secondary appraisal enables them to evaluate their ability to manage these demands. Although the original framework emphasises problem-focused and emotion-focused strategies, integrating a metacognitive perspective enhances it by encouraging students to consciously reflect on their appraisal processes (Flavell, 1979; </w:t>
      </w:r>
      <w:proofErr w:type="spellStart"/>
      <w:r w:rsidRPr="0084708A">
        <w:rPr>
          <w:lang w:val="en-GB" w:eastAsia="en-GB"/>
        </w:rPr>
        <w:t>Drigas</w:t>
      </w:r>
      <w:proofErr w:type="spellEnd"/>
      <w:r w:rsidRPr="0084708A">
        <w:rPr>
          <w:lang w:val="en-GB" w:eastAsia="en-GB"/>
        </w:rPr>
        <w:t xml:space="preserve"> &amp; </w:t>
      </w:r>
      <w:proofErr w:type="spellStart"/>
      <w:r w:rsidRPr="0084708A">
        <w:rPr>
          <w:lang w:val="en-GB" w:eastAsia="en-GB"/>
        </w:rPr>
        <w:t>Mitsea</w:t>
      </w:r>
      <w:proofErr w:type="spellEnd"/>
      <w:r w:rsidRPr="0084708A">
        <w:rPr>
          <w:lang w:val="en-GB" w:eastAsia="en-GB"/>
        </w:rPr>
        <w:t>, 2020). This integration provides a more comprehensive understanding of how students perceive and respond to academic challenges. Additionally, a significant strength of the theory is its conceptualisation of resilience as a dynamic and adaptive process rather than a static trait. Effective coping strategies foster resilience, aligning with this study’s aim of equipping students with the skills necessary to manage academic stressors effectively (Lazarus &amp; Folkman, 1984; Lazarus, 1998).</w:t>
      </w:r>
    </w:p>
    <w:p w14:paraId="4988BD9E" w14:textId="77777777" w:rsidR="00C10B27" w:rsidRPr="0084708A" w:rsidRDefault="00C10B27" w:rsidP="00FE6E39">
      <w:pPr>
        <w:rPr>
          <w:lang w:val="en-GB" w:eastAsia="en-GB"/>
        </w:rPr>
      </w:pPr>
    </w:p>
    <w:p w14:paraId="1DDF34F6" w14:textId="77777777" w:rsidR="00C10B27" w:rsidRPr="0084708A" w:rsidRDefault="00C10B27" w:rsidP="00FE6E39">
      <w:pPr>
        <w:rPr>
          <w:lang w:val="en-GB" w:eastAsia="en-GB"/>
        </w:rPr>
      </w:pPr>
      <w:r w:rsidRPr="0084708A">
        <w:rPr>
          <w:lang w:val="en-GB" w:eastAsia="en-GB"/>
        </w:rPr>
        <w:t>Despite its strengths, the combined use of Lazarus and Folkman’s (1984) framework with metacognitive processes presents several limitations when applied to educational settings. One key criticism is the theory's focus on individual subjective appraisals of stress, which may oversimplify the complexities of stress responses by overlooking systemic and contextual factors such as school policies, socio-economic challenges, and cultural influences (Skinner &amp; Zimmer-</w:t>
      </w:r>
      <w:proofErr w:type="spellStart"/>
      <w:r w:rsidRPr="0084708A">
        <w:rPr>
          <w:lang w:val="en-GB" w:eastAsia="en-GB"/>
        </w:rPr>
        <w:t>Gembeck</w:t>
      </w:r>
      <w:proofErr w:type="spellEnd"/>
      <w:r w:rsidRPr="0084708A">
        <w:rPr>
          <w:lang w:val="en-GB" w:eastAsia="en-GB"/>
        </w:rPr>
        <w:t xml:space="preserve">, 2007; Ungar, 2021). However, this study deliberately focuses on the skills that students and educators identify as effective in managing academic stressors. The findings have the potential to inform policy changes, fostering a more supportive academic environment. Another limitation is the theory's primary emphasis on cognitive processes, with limited consideration of environmental and systemic influences such as school practices, teacher-student relationships, and peer networks, which significantly impact students' resilience (Cefai, 2021). Nevertheless, the study acknowledges ongoing efforts by the school to promote positive relationships and collaborative peer networks. </w:t>
      </w:r>
    </w:p>
    <w:p w14:paraId="16FF7DB0" w14:textId="77777777" w:rsidR="00C10B27" w:rsidRPr="0084708A" w:rsidRDefault="00C10B27" w:rsidP="00FE6E39">
      <w:pPr>
        <w:rPr>
          <w:lang w:val="en-GB" w:eastAsia="en-GB"/>
        </w:rPr>
      </w:pPr>
    </w:p>
    <w:p w14:paraId="628584E1" w14:textId="77777777" w:rsidR="00C10B27" w:rsidRPr="0084708A" w:rsidRDefault="00C10B27" w:rsidP="00FE6E39">
      <w:pPr>
        <w:rPr>
          <w:lang w:val="en-GB" w:eastAsia="en-GB"/>
        </w:rPr>
      </w:pPr>
      <w:r w:rsidRPr="0084708A">
        <w:rPr>
          <w:lang w:val="en-GB" w:eastAsia="en-GB"/>
        </w:rPr>
        <w:t>A further challenge posed by the theory is the subjective nature of appraisals, which can complicate measurement and operationalisation. Self-reported data used to evaluate primary and secondary appraisals may be prone to bias and inaccuracies (Folkman &amp; Moskowitz, 2004). However, this study mitigates this limitation by employing a qualitative methodology that seeks to obtain an in-depth understanding of students' and educators' perspectives rather than generalisable results. Future quantitative research could complement these findings by collecting data from a larger sample to enhance the study’s validity and scope. Despite these limitations, Lazarus and Folkman’s framework remains a valuable tool for exploring how students develop resilience through cognitive appraisals and coping strategies.</w:t>
      </w:r>
    </w:p>
    <w:p w14:paraId="37479191" w14:textId="77777777" w:rsidR="00C10B27" w:rsidRPr="0084708A" w:rsidRDefault="00C10B27" w:rsidP="00FE6E39">
      <w:pPr>
        <w:rPr>
          <w:lang w:val="en-GB" w:eastAsia="en-GB"/>
        </w:rPr>
      </w:pPr>
    </w:p>
    <w:p w14:paraId="2414D29D" w14:textId="77777777" w:rsidR="003B6BB8" w:rsidRPr="0084708A" w:rsidRDefault="003B6BB8" w:rsidP="00FE6E39"/>
    <w:p w14:paraId="15E20634" w14:textId="439B69CC" w:rsidR="00A75D3A" w:rsidRPr="007F7F07" w:rsidRDefault="00A75D3A" w:rsidP="002D008C">
      <w:pPr>
        <w:pStyle w:val="Heading2"/>
      </w:pPr>
      <w:bookmarkStart w:id="29" w:name="_Toc189560825"/>
      <w:bookmarkStart w:id="30" w:name="_Toc188167870"/>
      <w:bookmarkStart w:id="31" w:name="_Toc188540475"/>
      <w:r w:rsidRPr="007F7F07">
        <w:t>Coping Skills for Academic Resilience</w:t>
      </w:r>
      <w:bookmarkEnd w:id="29"/>
    </w:p>
    <w:p w14:paraId="1B14B762" w14:textId="77777777" w:rsidR="00A75D3A" w:rsidRPr="007F7F07" w:rsidRDefault="00A75D3A" w:rsidP="00A75D3A"/>
    <w:p w14:paraId="04CBF0D0" w14:textId="7FB7C83C" w:rsidR="00A75D3A" w:rsidRPr="007F7F07" w:rsidRDefault="00A75D3A" w:rsidP="00A75D3A">
      <w:r w:rsidRPr="007F7F07">
        <w:t>Research highlights a range of cognitive, emotional, and behavioural skills that contribute to resilience, including time management, problem-solving abilities, emotional intelligence, adaptability, self-efficacy, and cognitive reframing (</w:t>
      </w:r>
      <w:r w:rsidRPr="007F7F07">
        <w:rPr>
          <w:lang w:eastAsia="en-GB"/>
        </w:rPr>
        <w:t>Martin and Marsh, 2019; Zhang et al., 2020)</w:t>
      </w:r>
      <w:r w:rsidRPr="007F7F07">
        <w:t xml:space="preserve">. These skills equip students with the capacity to manage stress, stay motivated, and persist in the face of academic challenges. By synthesising findings from various scholarly sources, this review aims to provide a comprehensive understanding of the </w:t>
      </w:r>
      <w:r w:rsidRPr="007F7F07">
        <w:lastRenderedPageBreak/>
        <w:t>key competencies that empower students to overcome obstacles and succeed in their academic pursuits.</w:t>
      </w:r>
    </w:p>
    <w:p w14:paraId="54024547" w14:textId="77777777" w:rsidR="00A9598F" w:rsidRDefault="00A9598F" w:rsidP="00890F27">
      <w:pPr>
        <w:pStyle w:val="Heading3"/>
      </w:pPr>
      <w:bookmarkStart w:id="32" w:name="_Toc189560826"/>
    </w:p>
    <w:p w14:paraId="628A173E" w14:textId="724ECC58" w:rsidR="00A75D3A" w:rsidRPr="007F7F07" w:rsidRDefault="00A75D3A" w:rsidP="00890F27">
      <w:pPr>
        <w:pStyle w:val="Heading3"/>
      </w:pPr>
      <w:r w:rsidRPr="007F7F07">
        <w:t>Time Management</w:t>
      </w:r>
      <w:bookmarkEnd w:id="32"/>
    </w:p>
    <w:p w14:paraId="66AA84AE" w14:textId="77777777" w:rsidR="00A75D3A" w:rsidRPr="00053353" w:rsidRDefault="00A75D3A" w:rsidP="00A75D3A"/>
    <w:p w14:paraId="1BBB5F0D" w14:textId="77777777" w:rsidR="005E120E" w:rsidRPr="00053353" w:rsidRDefault="005E120E" w:rsidP="005E120E">
      <w:pPr>
        <w:spacing w:after="160" w:line="259" w:lineRule="auto"/>
      </w:pPr>
      <w:r w:rsidRPr="00E57C3C">
        <w:t>Time management is widely recognised as a crucial skill for enhancing academic resilience, enabling students to prioritise tasks, set realistic goals, and organise workloads efficiently (Alyami et al., 2021; Martin &amp; Marsh, 2019). Effective time management strategies, such as breaking down larger tasks into smaller steps, utilising planning tools, and maintaining a structured schedule, allow students to better manage their academic responsibilities, ultimately boosting their confidence and productivity (Martin &amp; Marsh, 2019). Given its importance, educators play a fundamental role in fostering these skills by incorporating time management training into the curriculum, equipping students with practical tools to handle academic demands successfully (Diab &amp; Green, 2024).</w:t>
      </w:r>
    </w:p>
    <w:p w14:paraId="24328290" w14:textId="77777777" w:rsidR="00053353" w:rsidRPr="00E57C3C" w:rsidRDefault="00053353" w:rsidP="005E120E">
      <w:pPr>
        <w:spacing w:after="160" w:line="259" w:lineRule="auto"/>
      </w:pPr>
    </w:p>
    <w:p w14:paraId="7E3A3DBA" w14:textId="63E2B595" w:rsidR="005E120E" w:rsidRPr="00053353" w:rsidRDefault="005E120E" w:rsidP="005E120E">
      <w:pPr>
        <w:spacing w:after="160" w:line="259" w:lineRule="auto"/>
      </w:pPr>
      <w:r w:rsidRPr="00E57C3C">
        <w:t>Empirical research consistently highlights the significant benefits of time management in reducing academic stress and improving student performance. MacCann et al. (2020) conducted a study involving 1,000 secondary and post-secondary students and found that those with strong time management skills reported lower stress levels and higher academic achievement. Similarly, a longitudinal study by Martin and Marsh (2019) with 450 university students demonstrated that structured time management interventions</w:t>
      </w:r>
      <w:r w:rsidR="00053353" w:rsidRPr="00053353">
        <w:t xml:space="preserve">, </w:t>
      </w:r>
      <w:r w:rsidRPr="00E57C3C">
        <w:t>such as planning and goal-setting workshops</w:t>
      </w:r>
      <w:r w:rsidR="00053353" w:rsidRPr="00053353">
        <w:t xml:space="preserve">, </w:t>
      </w:r>
      <w:r w:rsidRPr="00E57C3C">
        <w:t>significantly improved students’ ability to manage workloads and reduced their stress levels.</w:t>
      </w:r>
    </w:p>
    <w:p w14:paraId="0BBD9E6D" w14:textId="77777777" w:rsidR="00053353" w:rsidRPr="00E57C3C" w:rsidRDefault="00053353" w:rsidP="005E120E">
      <w:pPr>
        <w:spacing w:after="160" w:line="259" w:lineRule="auto"/>
      </w:pPr>
    </w:p>
    <w:p w14:paraId="1B5EF7C4" w14:textId="15BC984E" w:rsidR="005E120E" w:rsidRPr="00053353" w:rsidRDefault="005E120E" w:rsidP="005E120E">
      <w:pPr>
        <w:spacing w:after="160" w:line="259" w:lineRule="auto"/>
      </w:pPr>
      <w:r w:rsidRPr="00E57C3C">
        <w:t xml:space="preserve">Beyond academic performance, time management is also linked to broader aspects of student wellbeing. Calonia </w:t>
      </w:r>
      <w:r w:rsidR="004D3CD5">
        <w:t>et al.</w:t>
      </w:r>
      <w:r w:rsidRPr="00E57C3C">
        <w:t xml:space="preserve"> (2023) emphasise that effective time management involves prioritising urgent work, avoiding procrastination, maintaining a work-life balance, and managing socialisation to support academic success. Furthermore, training educators to help students address the psychological dimensions of time management can empower learners to develop a more constructive perspective on their academic progress, fostering resilience and a greater willingness to succeed (Diab &amp; Green, 2024).</w:t>
      </w:r>
    </w:p>
    <w:p w14:paraId="5D7006F1" w14:textId="77777777" w:rsidR="00053353" w:rsidRPr="00E57C3C" w:rsidRDefault="00053353" w:rsidP="005E120E">
      <w:pPr>
        <w:spacing w:after="160" w:line="259" w:lineRule="auto"/>
      </w:pPr>
    </w:p>
    <w:p w14:paraId="2553E2F6" w14:textId="77777777" w:rsidR="005E120E" w:rsidRPr="00E57C3C" w:rsidRDefault="005E120E" w:rsidP="005E120E">
      <w:pPr>
        <w:spacing w:after="160" w:line="259" w:lineRule="auto"/>
      </w:pPr>
      <w:r w:rsidRPr="00E57C3C">
        <w:t xml:space="preserve">Given the strong connection between time management and resilience, the integration of structured time management training into post-secondary education is increasingly seen as a crucial intervention for promoting student wellbeing and academic success. </w:t>
      </w:r>
    </w:p>
    <w:p w14:paraId="1E36B928" w14:textId="77777777" w:rsidR="005E120E" w:rsidRPr="00E57C3C" w:rsidRDefault="005E120E" w:rsidP="005E120E"/>
    <w:p w14:paraId="614EB875" w14:textId="74560DB7" w:rsidR="00A75D3A" w:rsidRPr="007F7F07" w:rsidRDefault="00A75D3A" w:rsidP="00890F27">
      <w:pPr>
        <w:pStyle w:val="Heading3"/>
      </w:pPr>
      <w:bookmarkStart w:id="33" w:name="_Toc189560827"/>
      <w:r w:rsidRPr="007F7F07">
        <w:t>Problem-Solving Skills</w:t>
      </w:r>
      <w:bookmarkEnd w:id="33"/>
    </w:p>
    <w:p w14:paraId="2407534C" w14:textId="77777777" w:rsidR="00A75D3A" w:rsidRPr="00A75D3A" w:rsidRDefault="00A75D3A" w:rsidP="00A75D3A">
      <w:pPr>
        <w:rPr>
          <w:highlight w:val="cyan"/>
          <w:lang w:eastAsia="en-GB"/>
        </w:rPr>
      </w:pPr>
    </w:p>
    <w:p w14:paraId="1F9578D0" w14:textId="77777777" w:rsidR="001140A6" w:rsidRDefault="001140A6" w:rsidP="001140A6">
      <w:pPr>
        <w:spacing w:after="160" w:line="259" w:lineRule="auto"/>
      </w:pPr>
      <w:r w:rsidRPr="00E57C3C">
        <w:t xml:space="preserve">Problem-solving skills are fundamental to academic resilience, enabling students to systematically identify, evaluate, and implement effective solutions to challenges (Coskun &amp; Tosun, 2014). When combined with metacognitive strategies and cognitive flexibility, these skills enhance decision-making, adaptability, and the achievement of long-term academic goals (Keable, 2022; Cefai, 2021). Research suggests that students with strong problem-solving abilities demonstrate improved emotional regulation, greater academic engagement, and enhanced coping strategies (Cassidy, 2015; </w:t>
      </w:r>
      <w:proofErr w:type="spellStart"/>
      <w:r w:rsidRPr="00E57C3C">
        <w:t>Modecki</w:t>
      </w:r>
      <w:proofErr w:type="spellEnd"/>
      <w:r w:rsidRPr="00E57C3C">
        <w:t xml:space="preserve"> et al., 2017).</w:t>
      </w:r>
    </w:p>
    <w:p w14:paraId="228FB259" w14:textId="77777777" w:rsidR="001140A6" w:rsidRPr="00E57C3C" w:rsidRDefault="001140A6" w:rsidP="001140A6">
      <w:pPr>
        <w:spacing w:after="160" w:line="259" w:lineRule="auto"/>
      </w:pPr>
    </w:p>
    <w:p w14:paraId="444878B0" w14:textId="77777777" w:rsidR="001140A6" w:rsidRDefault="001140A6" w:rsidP="001140A6">
      <w:pPr>
        <w:spacing w:after="160" w:line="259" w:lineRule="auto"/>
      </w:pPr>
      <w:r w:rsidRPr="00E57C3C">
        <w:lastRenderedPageBreak/>
        <w:t>Educational interventions have been found to be effective in fostering problem-solving skills among students. Durlak et al. (2011) emphasise that structured problem-solving interventions, such as collaborative projects and experiential learning, equip students with the necessary skills to navigate academic challenges with greater ease. Moreover, embedding problem-solving strategies within the curriculum has been shown to cultivate resilience while contributing to sustained academic success (Ungar, 2021). Cefai and Spiteri (2020) further highlight that active learning approaches</w:t>
      </w:r>
      <w:r>
        <w:t xml:space="preserve">, </w:t>
      </w:r>
      <w:r w:rsidRPr="00E57C3C">
        <w:t>where students are encouraged to break down complex problems into smaller, manageable components</w:t>
      </w:r>
      <w:r>
        <w:t xml:space="preserve">, </w:t>
      </w:r>
      <w:r w:rsidRPr="00E57C3C">
        <w:t>can facilitate cognitive growth and enhance their ability to tackle unforeseen difficulties.</w:t>
      </w:r>
    </w:p>
    <w:p w14:paraId="28CA124A" w14:textId="77777777" w:rsidR="001140A6" w:rsidRPr="00E57C3C" w:rsidRDefault="001140A6" w:rsidP="001140A6">
      <w:pPr>
        <w:spacing w:after="160" w:line="259" w:lineRule="auto"/>
      </w:pPr>
    </w:p>
    <w:p w14:paraId="2B4AC976" w14:textId="224ABB1C" w:rsidR="001140A6" w:rsidRPr="00E57C3C" w:rsidRDefault="001140A6" w:rsidP="001140A6">
      <w:pPr>
        <w:spacing w:after="160" w:line="259" w:lineRule="auto"/>
      </w:pPr>
      <w:r w:rsidRPr="00E57C3C">
        <w:t>Beyond academia, problem-solving skills are essential for adapting to an ever-evolving world and responding effectively to unexpected challenges, including those encountered in the workplace (MEYR, 2023). The Maltese Education Strategy for 2024</w:t>
      </w:r>
      <w:r w:rsidR="00773A44">
        <w:t xml:space="preserve"> - </w:t>
      </w:r>
      <w:r w:rsidRPr="00E57C3C">
        <w:t>2030 underscores the need for schools to foster problem-solving competencies, recognising their role in preparing students to become adaptable, innovative, and resilient individuals (MEYR, 2023). By equipping students with the ability to assess problems critically and implement strategic solutions, education systems can empower learners to thrive in both academic and professional environments.</w:t>
      </w:r>
    </w:p>
    <w:p w14:paraId="26D4118F" w14:textId="77777777" w:rsidR="00A75D3A" w:rsidRPr="00A75D3A" w:rsidRDefault="00A75D3A" w:rsidP="00A75D3A">
      <w:pPr>
        <w:rPr>
          <w:highlight w:val="cyan"/>
          <w:lang w:eastAsia="en-GB"/>
        </w:rPr>
      </w:pPr>
    </w:p>
    <w:p w14:paraId="30B272D7" w14:textId="0B15446F" w:rsidR="00A75D3A" w:rsidRPr="007F7F07" w:rsidRDefault="00A75D3A" w:rsidP="00890F27">
      <w:pPr>
        <w:pStyle w:val="Heading3"/>
      </w:pPr>
      <w:bookmarkStart w:id="34" w:name="_Toc189560828"/>
      <w:r w:rsidRPr="007F7F07">
        <w:t>Adaptability</w:t>
      </w:r>
      <w:bookmarkEnd w:id="34"/>
    </w:p>
    <w:p w14:paraId="48EC7E6B" w14:textId="77777777" w:rsidR="00A75D3A" w:rsidRPr="003E1CC7" w:rsidRDefault="00A75D3A" w:rsidP="003E1CC7"/>
    <w:p w14:paraId="34C842B4" w14:textId="77777777" w:rsidR="003E1CC7" w:rsidRDefault="003E1CC7" w:rsidP="003E1CC7">
      <w:r w:rsidRPr="003E1CC7">
        <w:t>Adaptability is a key component of academic resilience, allowing students to manage changing demands, stay motivated, and persist through challenges (Ungar, 2021). It involves adjusting strategies and behaviours to suit evolving circumstances, with experiential learning playing a vital role in fostering this skill through project-based assignments (Cefai &amp; Spiteri, 2020). Research indicates that adaptable students navigate academic transitions more effectively and perceive challenges as opportunities for growth (Collie et al., 2016). Moreover, educational interventions that focus on structured support systems and guided learning experiences can significantly enhance adaptability, preparing students for success in both academic and professional environments (Ungar, 2021).</w:t>
      </w:r>
    </w:p>
    <w:p w14:paraId="75983730" w14:textId="77777777" w:rsidR="00875A28" w:rsidRPr="003E1CC7" w:rsidRDefault="00875A28" w:rsidP="003E1CC7"/>
    <w:p w14:paraId="01B3B9D4" w14:textId="77777777" w:rsidR="003E1CC7" w:rsidRDefault="003E1CC7" w:rsidP="003E1CC7">
      <w:r w:rsidRPr="003E1CC7">
        <w:t xml:space="preserve">The development of adaptability is strongly linked to Lev Vygotsky’s (1978) theory of the zone of proximal development (ZPD), which suggests that students learn best when provided with tasks that are slightly beyond their current abilities but achievable with the right support. </w:t>
      </w:r>
      <w:proofErr w:type="spellStart"/>
      <w:r w:rsidRPr="003E1CC7">
        <w:t>Smagorinsky</w:t>
      </w:r>
      <w:proofErr w:type="spellEnd"/>
      <w:r w:rsidRPr="003E1CC7">
        <w:t xml:space="preserve"> (2018) highlights that educators play a crucial role in guiding students through this learning process, providing scaffolding to help them progressively build skills and confidence. Muntasir and Akbar (2023) further argue that scaffolding is an effective technique for fostering adaptability, as it encourages students to extend their learning capabilities within their ZPD, ultimately promoting self-directed learning and resilience.</w:t>
      </w:r>
    </w:p>
    <w:p w14:paraId="2F8619D3" w14:textId="77777777" w:rsidR="00875A28" w:rsidRPr="003E1CC7" w:rsidRDefault="00875A28" w:rsidP="003E1CC7"/>
    <w:p w14:paraId="66ECA399" w14:textId="5E0A68FB" w:rsidR="003E1CC7" w:rsidRPr="00E82CCA" w:rsidRDefault="003E1CC7" w:rsidP="003E1CC7">
      <w:r w:rsidRPr="003E1CC7">
        <w:t xml:space="preserve">To cultivate adaptability in students, research suggests that project-based and experiential learning approaches are particularly effective. Vygotsky (1978) underscores the importance of structuring learning experiences in a way that challenges students while providing the necessary support to ensure growth. Similarly, Cefai and Spiteri (2020) emphasise that experiential learning, where students engage in hands-on, real-world tasks, enhances their ability to adjust to new academic and professional expectations. By incorporating these approaches into the curriculum, educators can create dynamic learning </w:t>
      </w:r>
      <w:r w:rsidRPr="003E1CC7">
        <w:lastRenderedPageBreak/>
        <w:t>environments that promote adaptability and equip students with the necessary skills to navigate an ever-changing educational landscape.</w:t>
      </w:r>
    </w:p>
    <w:p w14:paraId="19A52E47" w14:textId="77777777" w:rsidR="00A75D3A" w:rsidRPr="00A75D3A" w:rsidRDefault="00A75D3A" w:rsidP="00A75D3A">
      <w:pPr>
        <w:rPr>
          <w:highlight w:val="cyan"/>
        </w:rPr>
      </w:pPr>
    </w:p>
    <w:p w14:paraId="70ED0E04" w14:textId="7A8A9458" w:rsidR="00A75D3A" w:rsidRPr="007F7F07" w:rsidRDefault="00A75D3A" w:rsidP="00890F27">
      <w:pPr>
        <w:pStyle w:val="Heading3"/>
        <w:rPr>
          <w:rStyle w:val="Strong"/>
          <w:b/>
          <w:bCs w:val="0"/>
        </w:rPr>
      </w:pPr>
      <w:bookmarkStart w:id="35" w:name="_Toc189560829"/>
      <w:r w:rsidRPr="007F7F07">
        <w:rPr>
          <w:rStyle w:val="Strong"/>
          <w:b/>
        </w:rPr>
        <w:t>Self-Efficacy</w:t>
      </w:r>
      <w:bookmarkEnd w:id="35"/>
    </w:p>
    <w:p w14:paraId="5A719FD2" w14:textId="540D1161" w:rsidR="007F7F07" w:rsidRDefault="007F7F07" w:rsidP="007F7F07">
      <w:r>
        <w:t xml:space="preserve"> </w:t>
      </w:r>
    </w:p>
    <w:p w14:paraId="4C14B740" w14:textId="27A0AF4B" w:rsidR="00953C53" w:rsidRDefault="00953C53" w:rsidP="007F7F07">
      <w:r w:rsidRPr="00E82CCA">
        <w:t>Self-efficacy, defined as an individual’s belief in their ability to succeed in specific tasks, is a key factor in academic resilience. Rooted in Bandura’s (1997) social cognitive theory, self-efficacy influences students’ motivation, persistence, and approach to challenges. Students with high self-efficacy are more likely to perceive obstacles as opportunities for learning, adopt proactive strategies, and remain engaged in demanding academic settings (Radhamani &amp; Kalaivani, 2021). Cassidy (2015) found that students with strong self-efficacy were better at recovering from academic setbacks, while Kim and Hodges (2023) demonstrated that self-efficacy positively correlates with resilience and stress management, further reinforcing its role in sustaining academic success.</w:t>
      </w:r>
    </w:p>
    <w:p w14:paraId="0B9DCC1B" w14:textId="77777777" w:rsidR="00A77DCC" w:rsidRPr="00E82CCA" w:rsidRDefault="00A77DCC" w:rsidP="00A77DCC"/>
    <w:p w14:paraId="51C702DE" w14:textId="77777777" w:rsidR="00953C53" w:rsidRDefault="00953C53" w:rsidP="00A77DCC">
      <w:r w:rsidRPr="00E82CCA">
        <w:t>Developing self-efficacy requires structured support from educators. Mastery experiences</w:t>
      </w:r>
      <w:r>
        <w:t xml:space="preserve">, </w:t>
      </w:r>
      <w:r w:rsidRPr="00E82CCA">
        <w:t>in which students experience success through guided, incremental progress</w:t>
      </w:r>
      <w:r>
        <w:t xml:space="preserve">, </w:t>
      </w:r>
      <w:r w:rsidRPr="00E82CCA">
        <w:t xml:space="preserve">have been shown to strengthen self-efficacy and improve students’ confidence in their abilities (Bandura, 1997; Kim &amp; Hodges, 2023). Educators play a crucial role in fostering self-efficacy by implementing metacognitive strategies, such as self-monitoring and self-regulation training, to help students assess their own progress and make necessary adjustments. </w:t>
      </w:r>
      <w:proofErr w:type="spellStart"/>
      <w:r w:rsidRPr="00E82CCA">
        <w:t>Buzzetto</w:t>
      </w:r>
      <w:proofErr w:type="spellEnd"/>
      <w:r w:rsidRPr="00E82CCA">
        <w:t xml:space="preserve">-Hollywood et al. (2019) emphasise that self-regulation skills, including time management, </w:t>
      </w:r>
      <w:proofErr w:type="gramStart"/>
      <w:r w:rsidRPr="00E82CCA">
        <w:t>goal-setting</w:t>
      </w:r>
      <w:proofErr w:type="gramEnd"/>
      <w:r w:rsidRPr="00E82CCA">
        <w:t xml:space="preserve">, and managing distractions, are essential for building </w:t>
      </w:r>
      <w:proofErr w:type="gramStart"/>
      <w:r w:rsidRPr="00E82CCA">
        <w:t>a positive growth</w:t>
      </w:r>
      <w:proofErr w:type="gramEnd"/>
      <w:r w:rsidRPr="00E82CCA">
        <w:t xml:space="preserve"> mindset and increasing students’ autonomy in academic settings.</w:t>
      </w:r>
    </w:p>
    <w:p w14:paraId="3A924164" w14:textId="77777777" w:rsidR="00A77DCC" w:rsidRPr="00E82CCA" w:rsidRDefault="00A77DCC" w:rsidP="00A77DCC"/>
    <w:p w14:paraId="5AC5D8B6" w14:textId="77777777" w:rsidR="00953C53" w:rsidRDefault="00953C53" w:rsidP="00A77DCC">
      <w:r w:rsidRPr="00E82CCA">
        <w:t>Furthermore, constructive feedback and recognition are vital for reinforcing self-efficacy. Research suggests that when educators acknowledge students' efforts and provide positive reinforcement</w:t>
      </w:r>
      <w:r>
        <w:t xml:space="preserve">, </w:t>
      </w:r>
      <w:r w:rsidRPr="00E82CCA">
        <w:t>even when their responses are not entirely correct</w:t>
      </w:r>
      <w:r>
        <w:t xml:space="preserve">, </w:t>
      </w:r>
      <w:r w:rsidRPr="00E82CCA">
        <w:t>students are more likely to believe in their capabilities and persist in their academic pursuits (Kim &amp; Hodges, 2023). This aligns with self-discipline training, which incorporates self-monitoring techniques, structured reflection, and the gradual development of autonomy in academic tasks (</w:t>
      </w:r>
      <w:proofErr w:type="spellStart"/>
      <w:r w:rsidRPr="00E82CCA">
        <w:t>Buzzetto</w:t>
      </w:r>
      <w:proofErr w:type="spellEnd"/>
      <w:r w:rsidRPr="00E82CCA">
        <w:t>-Hollywood et al., 2019). By encouraging students to track their progress and adjust their learning strategies accordingly, educators can help them cultivate a sense of independence and self-belief.</w:t>
      </w:r>
    </w:p>
    <w:p w14:paraId="6050EC83" w14:textId="77777777" w:rsidR="00A77DCC" w:rsidRPr="00E82CCA" w:rsidRDefault="00A77DCC" w:rsidP="00A77DCC"/>
    <w:p w14:paraId="7317A4B1" w14:textId="77777777" w:rsidR="00953C53" w:rsidRDefault="00953C53" w:rsidP="00A77DCC">
      <w:r w:rsidRPr="00E82CCA">
        <w:t>Raising awareness of self-efficacy concepts within educational settings is also critical. Research indicates that many students may struggle to articulate their understanding of self-efficacy, despite engaging in behaviours that contribute to resilience (Bandura, 1997). Awareness-raising initiatives that integrate self-efficacy into classroom discourse and structured learning experiences can help bridge this gap, ensuring that students actively engage with the principles underlying academic resilience.</w:t>
      </w:r>
    </w:p>
    <w:p w14:paraId="228F107F" w14:textId="77777777" w:rsidR="00A77DCC" w:rsidRPr="00E82CCA" w:rsidRDefault="00A77DCC" w:rsidP="00A77DCC"/>
    <w:p w14:paraId="6D160DB0" w14:textId="77777777" w:rsidR="00953C53" w:rsidRPr="00E82CCA" w:rsidRDefault="00953C53" w:rsidP="00A77DCC">
      <w:r w:rsidRPr="00E82CCA">
        <w:t>Given the strong link between self-efficacy and student success, educational interventions that promote self-monitoring, self-regulation, and feedback-based encouragement can significantly contribute to students’ ability to navigate academic challenges with confidence and persistence.</w:t>
      </w:r>
    </w:p>
    <w:p w14:paraId="10FB0BF6" w14:textId="77777777" w:rsidR="00A75D3A" w:rsidRPr="00A75D3A" w:rsidRDefault="00A75D3A" w:rsidP="00A75D3A">
      <w:pPr>
        <w:rPr>
          <w:highlight w:val="cyan"/>
        </w:rPr>
      </w:pPr>
    </w:p>
    <w:p w14:paraId="0A0687FB" w14:textId="55A2A5DA" w:rsidR="00A75D3A" w:rsidRPr="00F70835" w:rsidRDefault="00A75D3A" w:rsidP="00890F27">
      <w:pPr>
        <w:pStyle w:val="Heading3"/>
      </w:pPr>
      <w:bookmarkStart w:id="36" w:name="_Toc189560830"/>
      <w:r w:rsidRPr="00F70835">
        <w:t>Emotional Regulation</w:t>
      </w:r>
      <w:bookmarkEnd w:id="36"/>
    </w:p>
    <w:p w14:paraId="379B50B8" w14:textId="77777777" w:rsidR="00A75D3A" w:rsidRPr="00A75D3A" w:rsidRDefault="00A75D3A" w:rsidP="00A75D3A">
      <w:pPr>
        <w:rPr>
          <w:highlight w:val="cyan"/>
          <w:lang w:eastAsia="en-GB"/>
        </w:rPr>
      </w:pPr>
    </w:p>
    <w:p w14:paraId="21255F1A" w14:textId="77777777" w:rsidR="00C44627" w:rsidRDefault="00C44627" w:rsidP="00C44627">
      <w:pPr>
        <w:spacing w:after="160" w:line="259" w:lineRule="auto"/>
      </w:pPr>
      <w:r w:rsidRPr="00E53481">
        <w:lastRenderedPageBreak/>
        <w:t>Emotional regulation is a fundamental component of academic resilience, enabling students to recognise and manage negative emotions such as frustration and anxiety. Metacognition plays a crucial role in fostering emotional regulation, as it helps students develop self-awareness and employ strategies to control their emotions effectively (Gross, 2015). Students with strong emotional regulation skills can navigate academic challenges without allowing stress to negatively impact their performance, contributing to overall academic success (Atkins &amp; Muscat-</w:t>
      </w:r>
      <w:proofErr w:type="spellStart"/>
      <w:r w:rsidRPr="00E53481">
        <w:t>Inglott</w:t>
      </w:r>
      <w:proofErr w:type="spellEnd"/>
      <w:r w:rsidRPr="00E53481">
        <w:t>, 2023; Jalalian-</w:t>
      </w:r>
      <w:proofErr w:type="spellStart"/>
      <w:r w:rsidRPr="00E53481">
        <w:t>Chursky</w:t>
      </w:r>
      <w:proofErr w:type="spellEnd"/>
      <w:r w:rsidRPr="00E53481">
        <w:t xml:space="preserve"> &amp; Tausen, 2024). Techniques such as mindfulness, cognitive reframing, and deep breathing have been shown to help students maintain emotional balance and enhance resilience in high-pressure academic environments (Cefai, 2021).</w:t>
      </w:r>
    </w:p>
    <w:p w14:paraId="10880895" w14:textId="77777777" w:rsidR="00C44627" w:rsidRPr="00E53481" w:rsidRDefault="00C44627" w:rsidP="00C44627">
      <w:pPr>
        <w:spacing w:after="160" w:line="259" w:lineRule="auto"/>
      </w:pPr>
    </w:p>
    <w:p w14:paraId="31BE1F98" w14:textId="3649A0E5" w:rsidR="00C44627" w:rsidRDefault="00C44627" w:rsidP="00C44627">
      <w:pPr>
        <w:spacing w:after="160" w:line="259" w:lineRule="auto"/>
      </w:pPr>
      <w:r w:rsidRPr="00E53481">
        <w:t>Empirical research underscores the significance of emotional regulation in supporting students' wellbeing and preventing academic burnout. A meta-analysis by Iuga and David (2024) found that effective emotional regulation strategies serve as a protective factor against academic burnout, reinforcing the role of emotional resilience in sustaining motivation and mental health. Similarly, Zhang et al. (2024) demonstrated that students with higher emotional intelligence</w:t>
      </w:r>
      <w:r>
        <w:t xml:space="preserve">, </w:t>
      </w:r>
      <w:r w:rsidRPr="00E53481">
        <w:t>particularly those who practice mindfulness</w:t>
      </w:r>
      <w:r>
        <w:t xml:space="preserve">, </w:t>
      </w:r>
      <w:r w:rsidRPr="00E53481">
        <w:t>exhibit lower stress levels and greater adaptability to academic challenges. These findings suggest that fostering emotional regulation through targeted interventions can enhance students' ability to cope with academic stress and maintain focus on their long-term goals.</w:t>
      </w:r>
    </w:p>
    <w:p w14:paraId="0CB1A70F" w14:textId="77777777" w:rsidR="00C44627" w:rsidRPr="00E53481" w:rsidRDefault="00C44627" w:rsidP="00C44627">
      <w:pPr>
        <w:spacing w:after="160" w:line="259" w:lineRule="auto"/>
      </w:pPr>
    </w:p>
    <w:p w14:paraId="65CED811" w14:textId="77777777" w:rsidR="00C44627" w:rsidRDefault="00C44627" w:rsidP="00C44627">
      <w:pPr>
        <w:spacing w:after="160" w:line="259" w:lineRule="auto"/>
      </w:pPr>
      <w:r w:rsidRPr="00E53481">
        <w:t>The development of emotional intelligence is closely linked to Daniel Goleman’s (2011) framework, which identifies self-regulation, empathy, and effective communication as key competencies for resilience. Research suggests that students with strong emotional intelligence skills are better equipped to manage stress, recover from setbacks, and develop a growth mindset that fosters academic persistence (Trigueros et al., 2020). Moreover, from a neuroscientific perspective, emotional intelligence is associated with neuroplasticity, or the brain’s ability to reorganise itself based on learning and experience (Sarrasin et al., 2018). The prefrontal cortex, responsible for executive functions such as impulse control and decision-making, plays a crucial role in emotional regulation. Chatterjee et al. (2021) highlight that regular practice of self-reflection and mindfulness strengthens neural pathways linked to emotional self-regulation, indicating that emotional intelligence can be intentionally cultivated through structured interventions.</w:t>
      </w:r>
    </w:p>
    <w:p w14:paraId="56E01F4F" w14:textId="77777777" w:rsidR="00C44627" w:rsidRPr="00E53481" w:rsidRDefault="00C44627" w:rsidP="00C44627">
      <w:pPr>
        <w:spacing w:after="160" w:line="259" w:lineRule="auto"/>
      </w:pPr>
    </w:p>
    <w:p w14:paraId="4B43F9D0" w14:textId="77777777" w:rsidR="00C44627" w:rsidRDefault="00C44627" w:rsidP="00C44627">
      <w:pPr>
        <w:spacing w:after="160" w:line="259" w:lineRule="auto"/>
      </w:pPr>
      <w:r w:rsidRPr="00E53481">
        <w:t>Beyond individual student practices, educators play a critical role in fostering emotional regulation through classroom strategies and structured learning experiences. Bledsoe and Baskin (2014) emphasise the importance of creating a supportive learning environment where students feel safe to express and manage their emotions. Pozo-Rico et al. (2023) further argue that teacher training should incorporate emotional intelligence development, equipping educators with the skills to recognise signs of anxiety and implement active learning strategies that promote resilience. These approaches may include guiding students in setting realistic academic goals, prioritising tasks effectively, and employing mindfulness techniques to reduce stress and enhance focus.</w:t>
      </w:r>
    </w:p>
    <w:p w14:paraId="6DA14972" w14:textId="77777777" w:rsidR="00C44627" w:rsidRPr="00E53481" w:rsidRDefault="00C44627" w:rsidP="00C44627">
      <w:pPr>
        <w:spacing w:after="160" w:line="259" w:lineRule="auto"/>
      </w:pPr>
    </w:p>
    <w:p w14:paraId="09D38126" w14:textId="77777777" w:rsidR="00C44627" w:rsidRPr="00E53481" w:rsidRDefault="00C44627" w:rsidP="00C44627">
      <w:pPr>
        <w:spacing w:after="160" w:line="259" w:lineRule="auto"/>
      </w:pPr>
      <w:r w:rsidRPr="00E53481">
        <w:t xml:space="preserve">Given the strong link between emotional intelligence and academic resilience, integrating emotional regulation strategies into the curriculum has been recommended as an </w:t>
      </w:r>
      <w:r w:rsidRPr="00E53481">
        <w:lastRenderedPageBreak/>
        <w:t>effective way to support student wellbeing. Trigueros et al. (2020) highlight that structured interventions focusing on metacognitive strategies, reflective exercises, and mindfulness practices empower students to manage stress proactively and develop essential coping mechanisms. Long-term benefits include not only academic success but also the development of emotional resilience that extends into professional and personal life.</w:t>
      </w:r>
    </w:p>
    <w:p w14:paraId="61F04EF2" w14:textId="77777777" w:rsidR="00A75D3A" w:rsidRPr="00A75D3A" w:rsidRDefault="00A75D3A" w:rsidP="00A75D3A">
      <w:pPr>
        <w:rPr>
          <w:highlight w:val="cyan"/>
          <w:lang w:eastAsia="en-GB"/>
        </w:rPr>
      </w:pPr>
    </w:p>
    <w:p w14:paraId="1DEB083B" w14:textId="13301FB6" w:rsidR="00763D91" w:rsidRDefault="00763D91" w:rsidP="00890F27">
      <w:pPr>
        <w:pStyle w:val="Heading3"/>
      </w:pPr>
      <w:bookmarkStart w:id="37" w:name="_Toc189560831"/>
      <w:r>
        <w:t>Cognitive Reframing</w:t>
      </w:r>
    </w:p>
    <w:p w14:paraId="4E90B803" w14:textId="77777777" w:rsidR="00763D91" w:rsidRDefault="00763D91" w:rsidP="00763D91">
      <w:pPr>
        <w:rPr>
          <w:lang w:val="en-GB" w:eastAsia="en-GB"/>
        </w:rPr>
      </w:pPr>
    </w:p>
    <w:p w14:paraId="09CEB601" w14:textId="0AEE671B" w:rsidR="000D29B7" w:rsidRDefault="000D29B7" w:rsidP="000D29B7">
      <w:pPr>
        <w:spacing w:after="160" w:line="259" w:lineRule="auto"/>
      </w:pPr>
      <w:r w:rsidRPr="00EC4585">
        <w:t>Cognitive reframing, also known as cognitive restructuring, is a psychological technique attainable through metacognition, enabling individuals to consciously assess and modify their thought processes. By altering their interpretations of situations, individuals can adjust their emotional responses, reduce stress, and foster psychological resilience</w:t>
      </w:r>
      <w:r w:rsidR="00B21B25">
        <w:t xml:space="preserve"> (Wang &amp; Yin, 2023)</w:t>
      </w:r>
      <w:r w:rsidRPr="00EC4585">
        <w:t>. This approach enhances personal control and emotional wellbeing by transforming negative self-perceptions into positive, constructive ones (Robson &amp; Troutman-Jordan, 2014). It is a core component of stress management and resilience-building strategies, particularly within educational settings.</w:t>
      </w:r>
    </w:p>
    <w:p w14:paraId="7E04CF6B" w14:textId="77777777" w:rsidR="000D29B7" w:rsidRPr="00EC4585" w:rsidRDefault="000D29B7" w:rsidP="000D29B7">
      <w:pPr>
        <w:spacing w:after="160" w:line="259" w:lineRule="auto"/>
      </w:pPr>
    </w:p>
    <w:p w14:paraId="5A28F06B" w14:textId="77777777" w:rsidR="000D29B7" w:rsidRDefault="000D29B7" w:rsidP="000D29B7">
      <w:pPr>
        <w:spacing w:after="160" w:line="259" w:lineRule="auto"/>
      </w:pPr>
      <w:r w:rsidRPr="00EC4585">
        <w:t>According to Lazarus and Folkman’s Transactional Theory of Stress and Coping (1984; Lazarus, 1998), stress arises when individuals perceive a situation as exceeding their available coping resources. Within this framework, cognitive reframing serves as an adaptive coping mechanism by helping individuals reinterpret challenges in a more constructive manner, thereby reducing stress and promoting psychological resilience (Wang &amp; Yin, 2023).</w:t>
      </w:r>
    </w:p>
    <w:p w14:paraId="06C3DAE4" w14:textId="77777777" w:rsidR="000D29B7" w:rsidRPr="00EC4585" w:rsidRDefault="000D29B7" w:rsidP="000D29B7">
      <w:pPr>
        <w:spacing w:after="160" w:line="259" w:lineRule="auto"/>
      </w:pPr>
    </w:p>
    <w:p w14:paraId="6F9C3194" w14:textId="5EDE5119" w:rsidR="000D29B7" w:rsidRDefault="000D29B7" w:rsidP="000D29B7">
      <w:pPr>
        <w:spacing w:after="160" w:line="259" w:lineRule="auto"/>
      </w:pPr>
      <w:r w:rsidRPr="00EC4585">
        <w:t>Empirical research supports the efficacy of cognitive reframing in enhancing emotional resilience and academic performance. Santos et al. (2023) conducted a scoping review on cognitive restructuring and found that it effectively reduces cognitive distortions, strengthens adaptive thinking patterns, and improves students’ ability to cope with academic stressors. By restructuring negative thought patterns, students can develop a more proactive and solution-focused approach to academic challenges, ultimately fostering greater emotional stability and motivation</w:t>
      </w:r>
      <w:r w:rsidR="002A6D46">
        <w:t xml:space="preserve"> (Wang &amp; Yin, 2023)</w:t>
      </w:r>
      <w:r w:rsidRPr="00EC4585">
        <w:t>.</w:t>
      </w:r>
    </w:p>
    <w:p w14:paraId="2A62573F" w14:textId="77777777" w:rsidR="000D29B7" w:rsidRPr="00EC4585" w:rsidRDefault="000D29B7" w:rsidP="000D29B7">
      <w:pPr>
        <w:spacing w:after="160" w:line="259" w:lineRule="auto"/>
      </w:pPr>
    </w:p>
    <w:p w14:paraId="3732F6BB" w14:textId="11859FE5" w:rsidR="00763D91" w:rsidRPr="00763D91" w:rsidRDefault="000D29B7" w:rsidP="000D29B7">
      <w:pPr>
        <w:rPr>
          <w:lang w:val="en-GB" w:eastAsia="en-GB"/>
        </w:rPr>
      </w:pPr>
      <w:r w:rsidRPr="00EC4585">
        <w:t>Furthermore, educators play a pivotal role in helping students recognise and challenge maladaptive thoughts, guiding them toward healthier cognitive and emotional responses in the face of academic pressure. Structured interventions that incorporate cognitive reframing techniques in educational settings can empower students to develop resilience, manage stress effectively, and enhance their problem-solving abilities in academic and professional contexts</w:t>
      </w:r>
      <w:r w:rsidR="00947213">
        <w:t xml:space="preserve"> (Yeager &amp; Dweck, 20</w:t>
      </w:r>
      <w:r w:rsidR="00BE31C3">
        <w:t>12</w:t>
      </w:r>
      <w:r w:rsidR="00947213">
        <w:t>)</w:t>
      </w:r>
      <w:r w:rsidRPr="00EC4585">
        <w:t>.</w:t>
      </w:r>
    </w:p>
    <w:p w14:paraId="20127942" w14:textId="77777777" w:rsidR="00763D91" w:rsidRDefault="00763D91" w:rsidP="00890F27">
      <w:pPr>
        <w:pStyle w:val="Heading3"/>
      </w:pPr>
    </w:p>
    <w:p w14:paraId="5B1183DD" w14:textId="7052E263" w:rsidR="00A75D3A" w:rsidRPr="00F70835" w:rsidRDefault="00A75D3A" w:rsidP="00890F27">
      <w:pPr>
        <w:pStyle w:val="Heading3"/>
      </w:pPr>
      <w:r w:rsidRPr="00F70835">
        <w:t>Growth Mindset</w:t>
      </w:r>
      <w:bookmarkEnd w:id="37"/>
    </w:p>
    <w:p w14:paraId="49FC88FB" w14:textId="77777777" w:rsidR="00A75D3A" w:rsidRPr="00271B33" w:rsidRDefault="00A75D3A" w:rsidP="00A75D3A"/>
    <w:p w14:paraId="4F933582" w14:textId="77777777" w:rsidR="00271B33" w:rsidRDefault="00271B33" w:rsidP="00271B33">
      <w:pPr>
        <w:spacing w:after="160" w:line="259" w:lineRule="auto"/>
      </w:pPr>
      <w:r w:rsidRPr="00FB3150">
        <w:t>Cultivating a growth mindset, the belief that abilities and intelligence can be developed through effort and perseverance, is a key emotion-focused strategy for fostering academic resilience. Metacognition plays a crucial role in cultivating a growth mindset by enabling students to monitor their learning processes and adjust their approaches accordingly</w:t>
      </w:r>
      <w:r w:rsidRPr="00271B33">
        <w:t xml:space="preserve"> (Dweck, 2016)</w:t>
      </w:r>
      <w:r w:rsidRPr="00FB3150">
        <w:t xml:space="preserve">. According to Dweck (2016), students with a growth mindset perceive failures as learning opportunities rather than barriers, which encourages persistence and motivation in achieving academic goals. When combined with intrinsic motivation, driven by </w:t>
      </w:r>
      <w:r w:rsidRPr="00FB3150">
        <w:lastRenderedPageBreak/>
        <w:t>internal satisfaction rather than external rewards, this mindset further enhances students’ ability to overcome challenges and remain engaged (Kim &amp; Hodges, 2023).</w:t>
      </w:r>
    </w:p>
    <w:p w14:paraId="15DE148E" w14:textId="77777777" w:rsidR="00271B33" w:rsidRPr="00FB3150" w:rsidRDefault="00271B33" w:rsidP="00271B33">
      <w:pPr>
        <w:spacing w:after="160" w:line="259" w:lineRule="auto"/>
      </w:pPr>
    </w:p>
    <w:p w14:paraId="5D789697" w14:textId="77777777" w:rsidR="00271B33" w:rsidRDefault="00271B33" w:rsidP="00271B33">
      <w:pPr>
        <w:spacing w:after="160" w:line="259" w:lineRule="auto"/>
      </w:pPr>
      <w:r w:rsidRPr="00FB3150">
        <w:t>Research suggests that growth mindset and intrinsic motivation together empower students to embrace challenges, adapt to setbacks, and pursue continuous improvement, equipping them with the psychological tools needed to thrive in demanding academic environments (Radhamani &amp; Kalaivani, 2021). Growth mindset interventions have been found to enhance resilience and academic success by reinforcing the idea that intelligence is malleable and can be developed through sustained effort and strategic learning approaches.</w:t>
      </w:r>
    </w:p>
    <w:p w14:paraId="0FDEE290" w14:textId="77777777" w:rsidR="00271B33" w:rsidRPr="00FB3150" w:rsidRDefault="00271B33" w:rsidP="00271B33">
      <w:pPr>
        <w:spacing w:after="160" w:line="259" w:lineRule="auto"/>
      </w:pPr>
    </w:p>
    <w:p w14:paraId="7635FAF0" w14:textId="77777777" w:rsidR="00271B33" w:rsidRDefault="00271B33" w:rsidP="00271B33">
      <w:pPr>
        <w:spacing w:after="160" w:line="259" w:lineRule="auto"/>
      </w:pPr>
      <w:r w:rsidRPr="00FB3150">
        <w:t>Empirical studies highlight the effectiveness of growth mindset interventions in improving academic resilience. Ng et al. (2020) found that a brief online growth mindset programme led to a significant shift towards a growth-oriented perspective, reducing fixed-mindset thinking and improving resilience among university students. Similarly, Ku and Stager (2022) conducted a systematic review of 20 studies involving 5,805 students and found that growth mindset interventions significantly improved academic performance and resilience, particularly among underrepresented groups. Their findings support a multidimensional framework that links growth mindset to academic success, psychological wellbeing, and long-term motivation.</w:t>
      </w:r>
    </w:p>
    <w:p w14:paraId="2EABEC6D" w14:textId="77777777" w:rsidR="00271B33" w:rsidRPr="00FB3150" w:rsidRDefault="00271B33" w:rsidP="00271B33">
      <w:pPr>
        <w:spacing w:after="160" w:line="259" w:lineRule="auto"/>
      </w:pPr>
    </w:p>
    <w:p w14:paraId="0FE8D276" w14:textId="77777777" w:rsidR="00271B33" w:rsidRDefault="00271B33" w:rsidP="00271B33">
      <w:pPr>
        <w:spacing w:after="160" w:line="259" w:lineRule="auto"/>
      </w:pPr>
      <w:r w:rsidRPr="00FB3150">
        <w:t>From a neuroscientific perspective, growth mindset is closely associated with neuroplasticity, the brain's ability to reorganise and strengthen neural pathways in response to learning experiences (Maynard et al., 2015). Repeated exposure to challenging tasks strengthens these pathways, enhancing cognitive flexibility and resilience. Research indicates that students who engage in growth mindset practices exhibit greater adaptability, as their brain structures evolve in response to learning experiences (Dweck et al., 2014).</w:t>
      </w:r>
    </w:p>
    <w:p w14:paraId="6DEA5060" w14:textId="77777777" w:rsidR="00271B33" w:rsidRPr="00FB3150" w:rsidRDefault="00271B33" w:rsidP="00271B33">
      <w:pPr>
        <w:spacing w:after="160" w:line="259" w:lineRule="auto"/>
      </w:pPr>
    </w:p>
    <w:p w14:paraId="71DEA359" w14:textId="77777777" w:rsidR="00271B33" w:rsidRDefault="00271B33" w:rsidP="00271B33">
      <w:pPr>
        <w:spacing w:after="160" w:line="259" w:lineRule="auto"/>
      </w:pPr>
      <w:r w:rsidRPr="00FB3150">
        <w:t xml:space="preserve">Furthermore, metacognition complements growth mindset development by helping students track their progress, reflect on setbacks, and adjust learning strategies accordingly. By fostering metacognitive awareness, educators can empower students to reframe failures as opportunities for learning rather than insurmountable obstacles (Dweck et al., 2014). Martin and Marsh (2003) argue that reflective practices and strategic </w:t>
      </w:r>
      <w:proofErr w:type="gramStart"/>
      <w:r w:rsidRPr="00FB3150">
        <w:t>goal-setting</w:t>
      </w:r>
      <w:proofErr w:type="gramEnd"/>
      <w:r w:rsidRPr="00FB3150">
        <w:t xml:space="preserve"> are essential for promoting academic resilience, as they encourage students to take proactive control of their learning processes.</w:t>
      </w:r>
    </w:p>
    <w:p w14:paraId="7F5E90C4" w14:textId="77777777" w:rsidR="00271B33" w:rsidRPr="00FB3150" w:rsidRDefault="00271B33" w:rsidP="00271B33">
      <w:pPr>
        <w:spacing w:after="160" w:line="259" w:lineRule="auto"/>
      </w:pPr>
    </w:p>
    <w:p w14:paraId="052D8D2A" w14:textId="77777777" w:rsidR="00271B33" w:rsidRPr="00FB3150" w:rsidRDefault="00271B33" w:rsidP="000E37BF">
      <w:r w:rsidRPr="00FB3150">
        <w:t>Given the substantial evidence supporting the role of growth mindset in academic resilience, integrating growth mindset principles into educational settings can help students develop persistence, reduce anxiety about failure, and cultivate a proactive approach to challenges. Educational interventions that incorporate reflective practices, targeted feedback, and structured metacognitive training can provide students with the cognitive and emotional tools needed to navigate academic demands successfully (Yeager &amp; Dweck, 2012).</w:t>
      </w:r>
    </w:p>
    <w:p w14:paraId="7A543B56" w14:textId="77777777" w:rsidR="00A75D3A" w:rsidRPr="00A75D3A" w:rsidRDefault="00A75D3A" w:rsidP="000E37BF">
      <w:pPr>
        <w:pStyle w:val="Heading4"/>
        <w:spacing w:before="0" w:after="0"/>
        <w:rPr>
          <w:highlight w:val="cyan"/>
        </w:rPr>
      </w:pPr>
    </w:p>
    <w:p w14:paraId="0C753B12" w14:textId="35B07E85" w:rsidR="00A75D3A" w:rsidRPr="007B0121" w:rsidRDefault="00A75D3A" w:rsidP="00890F27">
      <w:pPr>
        <w:pStyle w:val="Heading3"/>
      </w:pPr>
      <w:bookmarkStart w:id="38" w:name="_Toc189560832"/>
      <w:r w:rsidRPr="007B0121">
        <w:t>Mindfulness</w:t>
      </w:r>
      <w:bookmarkEnd w:id="38"/>
    </w:p>
    <w:p w14:paraId="0867D984" w14:textId="77777777" w:rsidR="00A75D3A" w:rsidRPr="007B0121" w:rsidRDefault="00A75D3A" w:rsidP="00A75D3A"/>
    <w:p w14:paraId="1310445E" w14:textId="77777777" w:rsidR="00A75D3A" w:rsidRPr="007B0121" w:rsidRDefault="00A75D3A" w:rsidP="00A75D3A">
      <w:pPr>
        <w:rPr>
          <w:lang w:eastAsia="en-GB"/>
        </w:rPr>
      </w:pPr>
      <w:r w:rsidRPr="007B0121">
        <w:rPr>
          <w:lang w:eastAsia="en-GB"/>
        </w:rPr>
        <w:t xml:space="preserve">Mindfulness, defined as maintaining non-judgmental awareness of the present moment (Kabat-Zinn, 2005), plays a crucial role in fostering academic resilience by enhancing self-regulation and emotional awareness. It helps students manage academic </w:t>
      </w:r>
      <w:r w:rsidRPr="007B0121">
        <w:rPr>
          <w:lang w:eastAsia="en-GB"/>
        </w:rPr>
        <w:lastRenderedPageBreak/>
        <w:t>challenges with greater composure and focus, reducing stress and promoting adaptive coping mechanisms essential for academic success (Zhang et al., 2024; Jalalian-</w:t>
      </w:r>
      <w:proofErr w:type="spellStart"/>
      <w:r w:rsidRPr="007B0121">
        <w:rPr>
          <w:lang w:eastAsia="en-GB"/>
        </w:rPr>
        <w:t>Chursky</w:t>
      </w:r>
      <w:proofErr w:type="spellEnd"/>
      <w:r w:rsidRPr="007B0121">
        <w:rPr>
          <w:lang w:eastAsia="en-GB"/>
        </w:rPr>
        <w:t xml:space="preserve"> &amp; Tausen, 2024). Mindfulness practices such as meditation, body scanning, and mindful breathing provide practical tools to mitigate anxiety, improve cognitive flexibility, and sustain attention on long-term academic goals (Cefai, 2021).</w:t>
      </w:r>
    </w:p>
    <w:p w14:paraId="721B9274" w14:textId="77777777" w:rsidR="00A75D3A" w:rsidRPr="007B0121" w:rsidRDefault="00A75D3A" w:rsidP="00A75D3A">
      <w:pPr>
        <w:rPr>
          <w:lang w:eastAsia="en-GB"/>
        </w:rPr>
      </w:pPr>
    </w:p>
    <w:p w14:paraId="26CE50D9" w14:textId="77777777" w:rsidR="00A75D3A" w:rsidRPr="007B0121" w:rsidRDefault="00A75D3A" w:rsidP="00A75D3A">
      <w:pPr>
        <w:rPr>
          <w:lang w:eastAsia="en-GB"/>
        </w:rPr>
      </w:pPr>
      <w:r w:rsidRPr="007B0121">
        <w:rPr>
          <w:lang w:eastAsia="en-GB"/>
        </w:rPr>
        <w:t>Empirical research supports the effectiveness of mindfulness in promoting academic resilience. Zhang et al. (2024) found that university students who engaged in mindfulness practices experienced lower academic stress and improved resilience. Similarly, Atkins and Muscat-</w:t>
      </w:r>
      <w:proofErr w:type="spellStart"/>
      <w:r w:rsidRPr="007B0121">
        <w:rPr>
          <w:lang w:eastAsia="en-GB"/>
        </w:rPr>
        <w:t>Inglott</w:t>
      </w:r>
      <w:proofErr w:type="spellEnd"/>
      <w:r w:rsidRPr="007B0121">
        <w:rPr>
          <w:lang w:eastAsia="en-GB"/>
        </w:rPr>
        <w:t xml:space="preserve"> (2023) observed that higher mindfulness levels among Maltese undergraduates correlated with greater affective wellbeing and resilience. Large-scale studies, such as Maynard et al. (2017), concluded that mindfulness programmes significantly enhance attention, emotional regulation, and self-efficacy, while </w:t>
      </w:r>
      <w:proofErr w:type="spellStart"/>
      <w:r w:rsidRPr="007B0121">
        <w:rPr>
          <w:lang w:eastAsia="en-GB"/>
        </w:rPr>
        <w:t>Hjeltnes</w:t>
      </w:r>
      <w:proofErr w:type="spellEnd"/>
      <w:r w:rsidRPr="007B0121">
        <w:rPr>
          <w:lang w:eastAsia="en-GB"/>
        </w:rPr>
        <w:t xml:space="preserve"> et al. (2015) and Van de </w:t>
      </w:r>
      <w:proofErr w:type="spellStart"/>
      <w:r w:rsidRPr="007B0121">
        <w:rPr>
          <w:lang w:eastAsia="en-GB"/>
        </w:rPr>
        <w:t>Weijer</w:t>
      </w:r>
      <w:proofErr w:type="spellEnd"/>
      <w:r w:rsidRPr="007B0121">
        <w:rPr>
          <w:lang w:eastAsia="en-GB"/>
        </w:rPr>
        <w:t>-Bergsma et al. (2014) demonstrated reductions in anxiety and improvements in psychological wellbeing among students.</w:t>
      </w:r>
    </w:p>
    <w:p w14:paraId="21159012" w14:textId="77777777" w:rsidR="001B7B49" w:rsidRDefault="001B7B49" w:rsidP="00890F27">
      <w:pPr>
        <w:pStyle w:val="Heading3"/>
      </w:pPr>
    </w:p>
    <w:p w14:paraId="547095EA" w14:textId="6B917A49" w:rsidR="003B6BB8" w:rsidRPr="00890F27" w:rsidRDefault="003B6BB8" w:rsidP="00890F27">
      <w:pPr>
        <w:pStyle w:val="Heading3"/>
      </w:pPr>
      <w:r w:rsidRPr="00890F27">
        <w:t>Critiques of Academic Resilience Training</w:t>
      </w:r>
      <w:bookmarkEnd w:id="30"/>
      <w:bookmarkEnd w:id="31"/>
    </w:p>
    <w:p w14:paraId="7E3416DC" w14:textId="77777777" w:rsidR="003B6BB8" w:rsidRPr="0084708A" w:rsidRDefault="003B6BB8" w:rsidP="00FE6E39"/>
    <w:p w14:paraId="2F5DE27F" w14:textId="77777777" w:rsidR="003B6BB8" w:rsidRPr="0084708A" w:rsidRDefault="003B6BB8" w:rsidP="00FE6E39">
      <w:pPr>
        <w:rPr>
          <w:lang w:val="en-GB" w:eastAsia="en-GB"/>
        </w:rPr>
      </w:pPr>
      <w:r w:rsidRPr="0084708A">
        <w:rPr>
          <w:lang w:val="en-GB" w:eastAsia="en-GB"/>
        </w:rPr>
        <w:t>Academic resilience training equips students with problem-focused and emotion-focused skills such as self-efficacy, emotional regulation, and problem-solving, enabling them to effectively manage academic stressors like workloads and deadlines (Cassidy, 2015; Kim &amp; Hodges, 2023). These programmes support students' wellbeing and adaptability to academic demands (Jalalian-</w:t>
      </w:r>
      <w:proofErr w:type="spellStart"/>
      <w:r w:rsidRPr="0084708A">
        <w:rPr>
          <w:lang w:val="en-GB" w:eastAsia="en-GB"/>
        </w:rPr>
        <w:t>Chursky</w:t>
      </w:r>
      <w:proofErr w:type="spellEnd"/>
      <w:r w:rsidRPr="0084708A">
        <w:rPr>
          <w:lang w:val="en-GB" w:eastAsia="en-GB"/>
        </w:rPr>
        <w:t xml:space="preserve"> &amp; Tausen, 2024). However, a key criticism of resilience training is its tendency to place excessive responsibility on students while overlooking broader systemic factors that influence resilience, such as socioeconomic conditions and institutional support (Sandoval-Hernández &amp; </w:t>
      </w:r>
      <w:proofErr w:type="spellStart"/>
      <w:r w:rsidRPr="0084708A">
        <w:rPr>
          <w:lang w:val="en-GB" w:eastAsia="en-GB"/>
        </w:rPr>
        <w:t>Białowolski</w:t>
      </w:r>
      <w:proofErr w:type="spellEnd"/>
      <w:r w:rsidRPr="0084708A">
        <w:rPr>
          <w:lang w:val="en-GB" w:eastAsia="en-GB"/>
        </w:rPr>
        <w:t>, 2016).</w:t>
      </w:r>
    </w:p>
    <w:p w14:paraId="3FC6DD41" w14:textId="77777777" w:rsidR="003B6BB8" w:rsidRPr="0084708A" w:rsidRDefault="003B6BB8" w:rsidP="00FE6E39">
      <w:pPr>
        <w:rPr>
          <w:lang w:val="en-GB" w:eastAsia="en-GB"/>
        </w:rPr>
      </w:pPr>
    </w:p>
    <w:p w14:paraId="4B22EC84" w14:textId="1B268144" w:rsidR="003B6BB8" w:rsidRPr="0084708A" w:rsidRDefault="003B6BB8" w:rsidP="00FE6E39">
      <w:pPr>
        <w:rPr>
          <w:lang w:val="en-GB" w:eastAsia="en-GB"/>
        </w:rPr>
      </w:pPr>
      <w:r w:rsidRPr="0084708A">
        <w:rPr>
          <w:lang w:val="en-GB" w:eastAsia="en-GB"/>
        </w:rPr>
        <w:t xml:space="preserve">To address this concern, resilience-building efforts should extend beyond individual skill development to include systemic reforms, such as flexible curricula and accessible mental health services. </w:t>
      </w:r>
      <w:r w:rsidR="000865C4" w:rsidRPr="0084708A">
        <w:rPr>
          <w:lang w:val="en-GB" w:eastAsia="en-GB"/>
        </w:rPr>
        <w:t>R</w:t>
      </w:r>
      <w:r w:rsidRPr="0084708A">
        <w:rPr>
          <w:lang w:val="en-GB" w:eastAsia="en-GB"/>
        </w:rPr>
        <w:t>esilience programmes should be integrated with mental health support to ensure that students facing significant psychological challenges receive appropriate professional assistance (Ross</w:t>
      </w:r>
      <w:r w:rsidR="001C2FF7" w:rsidRPr="0084708A">
        <w:rPr>
          <w:lang w:val="en-GB" w:eastAsia="en-GB"/>
        </w:rPr>
        <w:t xml:space="preserve"> et al.,</w:t>
      </w:r>
      <w:r w:rsidRPr="0084708A">
        <w:rPr>
          <w:lang w:val="en-GB" w:eastAsia="en-GB"/>
        </w:rPr>
        <w:t xml:space="preserve"> 2023).</w:t>
      </w:r>
    </w:p>
    <w:p w14:paraId="15D85EFE" w14:textId="77777777" w:rsidR="003B6BB8" w:rsidRPr="0084708A" w:rsidRDefault="003B6BB8" w:rsidP="00FE6E39">
      <w:pPr>
        <w:rPr>
          <w:lang w:val="en-GB" w:eastAsia="en-GB"/>
        </w:rPr>
      </w:pPr>
    </w:p>
    <w:p w14:paraId="28C1045A" w14:textId="77777777" w:rsidR="003B6BB8" w:rsidRPr="0084708A" w:rsidRDefault="003B6BB8" w:rsidP="00FE6E39">
      <w:pPr>
        <w:rPr>
          <w:lang w:val="en-GB" w:eastAsia="en-GB"/>
        </w:rPr>
      </w:pPr>
      <w:r w:rsidRPr="0084708A">
        <w:rPr>
          <w:lang w:val="en-GB" w:eastAsia="en-GB"/>
        </w:rPr>
        <w:t>A collaborative approach involving educators, schools, and policymakers is essential for the success of resilience training. Educators can support students by modelling resilience and fostering supportive learning environments, while policies promoting equitable resource allocation can further enhance the effectiveness of these initiatives (MEDE, 2017).</w:t>
      </w:r>
    </w:p>
    <w:p w14:paraId="0FD0AE84" w14:textId="77777777" w:rsidR="003B6BB8" w:rsidRPr="0084708A" w:rsidRDefault="003B6BB8" w:rsidP="00FE6E39">
      <w:pPr>
        <w:rPr>
          <w:lang w:val="en-GB" w:eastAsia="en-GB"/>
        </w:rPr>
      </w:pPr>
    </w:p>
    <w:p w14:paraId="53C3ABCF" w14:textId="77777777" w:rsidR="003B6BB8" w:rsidRPr="0084708A" w:rsidRDefault="003B6BB8" w:rsidP="00FE6E39">
      <w:pPr>
        <w:rPr>
          <w:lang w:val="en-GB" w:eastAsia="en-GB"/>
        </w:rPr>
      </w:pPr>
      <w:r w:rsidRPr="0084708A">
        <w:rPr>
          <w:lang w:val="en-GB" w:eastAsia="en-GB"/>
        </w:rPr>
        <w:t>Furthermore, holistic education models that incorporate resilience training alongside socio-emotional learning (SEL), creativity, and critical thinking provide a more balanced and sustainable approach to student development (Durlak et al., 2011). Such models prevent resilience training from masking systemic challenges and instead position it as a tool for empowerment and personal growth.</w:t>
      </w:r>
    </w:p>
    <w:p w14:paraId="158134E9" w14:textId="77777777" w:rsidR="00A9598F" w:rsidRDefault="00A9598F" w:rsidP="00890F27">
      <w:pPr>
        <w:pStyle w:val="Heading3"/>
      </w:pPr>
    </w:p>
    <w:p w14:paraId="6CC9D576" w14:textId="72B7F00E" w:rsidR="00811F94" w:rsidRPr="0084708A" w:rsidRDefault="00811F94" w:rsidP="00890F27">
      <w:pPr>
        <w:pStyle w:val="Heading3"/>
      </w:pPr>
      <w:r w:rsidRPr="0084708A">
        <w:t>Metacognition</w:t>
      </w:r>
      <w:r w:rsidR="001303DE" w:rsidRPr="0084708A">
        <w:t>, Neuroplasticity and Neuroscience</w:t>
      </w:r>
    </w:p>
    <w:p w14:paraId="71EE7339" w14:textId="77777777" w:rsidR="00811F94" w:rsidRPr="0084708A" w:rsidRDefault="00811F94" w:rsidP="00FE6E39">
      <w:pPr>
        <w:rPr>
          <w:lang w:val="en-GB" w:eastAsia="en-GB"/>
        </w:rPr>
      </w:pPr>
    </w:p>
    <w:p w14:paraId="2607165C" w14:textId="77777777" w:rsidR="003B6BB8" w:rsidRPr="0084708A" w:rsidRDefault="003B6BB8" w:rsidP="00FE6E39">
      <w:pPr>
        <w:rPr>
          <w:lang w:val="en-GB" w:eastAsia="en-GB"/>
        </w:rPr>
      </w:pPr>
      <w:r w:rsidRPr="0084708A">
        <w:rPr>
          <w:lang w:val="en-GB" w:eastAsia="en-GB"/>
        </w:rPr>
        <w:t xml:space="preserve">Metacognition plays a crucial role in fostering academic resilience by equipping students with the ability to monitor, regulate, and adapt their cognitive processes to effectively manage academic challenges. </w:t>
      </w:r>
      <w:proofErr w:type="spellStart"/>
      <w:r w:rsidRPr="0084708A">
        <w:rPr>
          <w:lang w:val="en-GB" w:eastAsia="en-GB"/>
        </w:rPr>
        <w:t>Drigas</w:t>
      </w:r>
      <w:proofErr w:type="spellEnd"/>
      <w:r w:rsidRPr="0084708A">
        <w:rPr>
          <w:lang w:val="en-GB" w:eastAsia="en-GB"/>
        </w:rPr>
        <w:t xml:space="preserve"> and </w:t>
      </w:r>
      <w:proofErr w:type="spellStart"/>
      <w:r w:rsidRPr="0084708A">
        <w:rPr>
          <w:lang w:val="en-GB" w:eastAsia="en-GB"/>
        </w:rPr>
        <w:t>Mitsea</w:t>
      </w:r>
      <w:proofErr w:type="spellEnd"/>
      <w:r w:rsidRPr="0084708A">
        <w:rPr>
          <w:lang w:val="en-GB" w:eastAsia="en-GB"/>
        </w:rPr>
        <w:t xml:space="preserve"> (2020) conceptualise metacognition through eight foundational pillars that collectively enhance self-awareness, </w:t>
      </w:r>
      <w:r w:rsidRPr="0084708A">
        <w:rPr>
          <w:lang w:val="en-GB" w:eastAsia="en-GB"/>
        </w:rPr>
        <w:lastRenderedPageBreak/>
        <w:t>attention, memory, and executive functioning, positioning it as a key component of holistic education aimed at nurturing independent and resilient learners. These pillars include understanding cognitive processes, practical awareness of cognitive abilities, self-monitoring, self-regulation, adaptation, recognition of internal and external factors, discrimination between relevant and irrelevant information, and self-remembrance. Each of these elements contributes to a learner’s ability to navigate academic stressors, such as workloads and deadlines, by fostering a deeper understanding of their cognitive strengths and areas for growth.</w:t>
      </w:r>
    </w:p>
    <w:p w14:paraId="719DFDCE" w14:textId="77777777" w:rsidR="00811F94" w:rsidRPr="0084708A" w:rsidRDefault="00811F94" w:rsidP="00FE6E39">
      <w:pPr>
        <w:rPr>
          <w:lang w:val="en-GB" w:eastAsia="en-GB"/>
        </w:rPr>
      </w:pPr>
    </w:p>
    <w:p w14:paraId="65FE58F4" w14:textId="69363D39" w:rsidR="003B6BB8" w:rsidRPr="0084708A" w:rsidRDefault="003B6BB8" w:rsidP="00FE6E39">
      <w:pPr>
        <w:rPr>
          <w:lang w:val="en-GB" w:eastAsia="en-GB"/>
        </w:rPr>
      </w:pPr>
      <w:r w:rsidRPr="0084708A">
        <w:rPr>
          <w:lang w:val="en-GB" w:eastAsia="en-GB"/>
        </w:rPr>
        <w:t>The concept of neuroplasticity further supports the integration of metacognition into educational frameworks, highlighting the brain's capacity to reorganise itself in response to learning and experience. Neuroplasticity research reveals that each new skill, memory, or challenge reinforces neural pathways associated with resilience, problem-solving, and critical thinking (Sarrasin et al., 2018; Basso &amp; Cottini, 2023). Educators who incorporate insights from neuroplasticity into their teaching can help students perceive academic challenges, such as workloads and deadlines, as opportunities for cognitive growth rather than as stress-inducing obstacles</w:t>
      </w:r>
      <w:r w:rsidR="004219AB">
        <w:rPr>
          <w:lang w:val="en-GB" w:eastAsia="en-GB"/>
        </w:rPr>
        <w:t xml:space="preserve"> (Goldberg, 2022)</w:t>
      </w:r>
      <w:r w:rsidRPr="0084708A">
        <w:rPr>
          <w:lang w:val="en-GB" w:eastAsia="en-GB"/>
        </w:rPr>
        <w:t>. By teaching students that overcoming difficulties strengthens brain function, educators can inspire a shift in mindset, encouraging students to embrace challenges as essential components of their personal and academic development</w:t>
      </w:r>
      <w:r w:rsidR="007A17D3">
        <w:rPr>
          <w:lang w:val="en-GB" w:eastAsia="en-GB"/>
        </w:rPr>
        <w:t xml:space="preserve"> (Buchanan &amp; Greig, 2021)</w:t>
      </w:r>
      <w:r w:rsidRPr="0084708A">
        <w:rPr>
          <w:lang w:val="en-GB" w:eastAsia="en-GB"/>
        </w:rPr>
        <w:t>.</w:t>
      </w:r>
    </w:p>
    <w:p w14:paraId="27C1EAAC" w14:textId="77777777" w:rsidR="001D6CE5" w:rsidRPr="0084708A" w:rsidRDefault="001D6CE5" w:rsidP="00FE6E39">
      <w:pPr>
        <w:rPr>
          <w:lang w:val="en-GB" w:eastAsia="en-GB"/>
        </w:rPr>
      </w:pPr>
    </w:p>
    <w:p w14:paraId="69A7768F" w14:textId="21F3B602" w:rsidR="003B6BB8" w:rsidRPr="0084708A" w:rsidRDefault="003B6BB8" w:rsidP="00FE6E39">
      <w:pPr>
        <w:rPr>
          <w:lang w:val="en-GB" w:eastAsia="en-GB"/>
        </w:rPr>
      </w:pPr>
      <w:r w:rsidRPr="0084708A">
        <w:rPr>
          <w:lang w:val="en-GB" w:eastAsia="en-GB"/>
        </w:rPr>
        <w:t>Practical strategies informed by metacognition and neuroscience can further support post-secondary students in managing academic pressures effectively</w:t>
      </w:r>
      <w:r w:rsidR="007D734B">
        <w:rPr>
          <w:lang w:val="en-GB" w:eastAsia="en-GB"/>
        </w:rPr>
        <w:t xml:space="preserve"> (Florentine, 2023)</w:t>
      </w:r>
      <w:r w:rsidRPr="0084708A">
        <w:rPr>
          <w:lang w:val="en-GB" w:eastAsia="en-GB"/>
        </w:rPr>
        <w:t>. Reflective practices, such as journaling and guided discussions, encourage students to analyse their thought processes, identify challenges, and devise personalised coping strategies (Keable, 2022). Goal-setting and self-monitoring techniques, which align with the principles of neuroplasticity, reinforce planning and self-regulation skills, helping students stay focused and adaptable (Yazar &amp; Tolan, 2020). Mindfulness training has also been found to enhance metacognitive awareness by improving attention and emotional regulation, both of which are essential for maintaining focus and reducing anxiety in high-pressure academic environments (Beer &amp; Moneta, 2010).</w:t>
      </w:r>
    </w:p>
    <w:p w14:paraId="1D20374A" w14:textId="77777777" w:rsidR="00A0161A" w:rsidRPr="0084708A" w:rsidRDefault="00A0161A" w:rsidP="00FE6E39">
      <w:pPr>
        <w:ind w:firstLine="0"/>
        <w:rPr>
          <w:lang w:val="en-GB" w:eastAsia="en-GB"/>
        </w:rPr>
      </w:pPr>
    </w:p>
    <w:p w14:paraId="48E6A845" w14:textId="6A0565F2" w:rsidR="00A0161A" w:rsidRPr="0084708A" w:rsidRDefault="00A0161A" w:rsidP="002D008C">
      <w:pPr>
        <w:pStyle w:val="Heading2"/>
      </w:pPr>
      <w:r w:rsidRPr="0084708A">
        <w:t>Methodology</w:t>
      </w:r>
    </w:p>
    <w:p w14:paraId="53D228A5" w14:textId="77777777" w:rsidR="00A0161A" w:rsidRPr="0084708A" w:rsidRDefault="00A0161A" w:rsidP="00FE6E39">
      <w:pPr>
        <w:rPr>
          <w:lang w:eastAsia="cs-CZ"/>
        </w:rPr>
      </w:pPr>
    </w:p>
    <w:p w14:paraId="311A67A9" w14:textId="15C20BE0" w:rsidR="00A0161A" w:rsidRPr="0084708A" w:rsidRDefault="000203C8" w:rsidP="00FE6E39">
      <w:r w:rsidRPr="0084708A">
        <w:t xml:space="preserve">This study employs a qualitative inductive approach to explore the perspectives of educators and students on the essential skills required to manage academic workloads and deadlines. Rooted in an interpretivist epistemological stance, the research prioritises the exploration of subjective experiences and acknowledges that knowledge is socially constructed and context-dependent (Lyu, 2024; Saunders et al., 2012). </w:t>
      </w:r>
      <w:r w:rsidR="006656A0" w:rsidRPr="0084708A">
        <w:t xml:space="preserve">Semi-structured interviews were chosen as the primary data collection tool, enabling participants to openly express their views while providing an in-depth exploration of the complexities </w:t>
      </w:r>
      <w:r w:rsidR="00B6724A" w:rsidRPr="0084708A">
        <w:t xml:space="preserve">(Saunders et al., 2012) </w:t>
      </w:r>
      <w:r w:rsidR="006656A0" w:rsidRPr="0084708A">
        <w:t xml:space="preserve">surrounding academic resilience. Following the interviews, two focus groups were conducted, each comprising six educators and six students selected from the initial interview participants. During these sessions, the data gathered from the interviews were discussed, allowing for further analysis and the co-construction of plans and recommendations to address the identified challenges. </w:t>
      </w:r>
      <w:r w:rsidRPr="0084708A">
        <w:t>Despite the potential limitations of qualitative research, such as subjectivity and limited generalisability, purposive sampling was employed to ensure the inclusion of participants with relevant insights, enhancing the depth and richness of the data (</w:t>
      </w:r>
      <w:r w:rsidR="008E206C" w:rsidRPr="0084708A">
        <w:t>Saunders et al., 2012</w:t>
      </w:r>
      <w:r w:rsidRPr="0084708A">
        <w:t xml:space="preserve">). The research process adhered to ethical guidelines, with formal permissions obtained from relevant authorities, and participants provided with clear </w:t>
      </w:r>
      <w:r w:rsidRPr="0084708A">
        <w:lastRenderedPageBreak/>
        <w:t>information regarding the study’s aims and their rights. Data analysis followed Braun and Clarke’s (2021</w:t>
      </w:r>
      <w:r w:rsidR="007E7439" w:rsidRPr="0084708A">
        <w:t>; 2022</w:t>
      </w:r>
      <w:r w:rsidRPr="0084708A">
        <w:t xml:space="preserve">) thematic analysis framework, ensuring a systematic and reflective approach to identifying key themes. Measures to enhance the reliability and validity of the findings, such as member checking and audit trails, were implemented to ensure the credibility of the study (Creswell &amp; </w:t>
      </w:r>
      <w:proofErr w:type="spellStart"/>
      <w:r w:rsidRPr="0084708A">
        <w:t>Poth</w:t>
      </w:r>
      <w:proofErr w:type="spellEnd"/>
      <w:r w:rsidRPr="0084708A">
        <w:t>, 2018). The research underscores the importance of ethical considerations, including confidentiality, informed consent, and data security, aligning with the General Data Protection Regulation (GDPR</w:t>
      </w:r>
      <w:r w:rsidR="005E3919" w:rsidRPr="0084708A">
        <w:t xml:space="preserve">) (European Parliament and Council, </w:t>
      </w:r>
      <w:r w:rsidRPr="0084708A">
        <w:t>2018). Ultimately, the study aims to provide meaningful insights that can inform educational policies and practices to better support students in managing academic stressors effectively.</w:t>
      </w:r>
    </w:p>
    <w:p w14:paraId="18549112" w14:textId="77777777" w:rsidR="002F2DD8" w:rsidRPr="0084708A" w:rsidRDefault="002F2DD8" w:rsidP="00FE6E39"/>
    <w:p w14:paraId="5D079709" w14:textId="59EA8B3D" w:rsidR="00A0161A" w:rsidRPr="0084708A" w:rsidRDefault="00A0161A" w:rsidP="002D008C">
      <w:pPr>
        <w:pStyle w:val="Heading2"/>
      </w:pPr>
      <w:r w:rsidRPr="0084708A">
        <w:t>Findings and Discussions</w:t>
      </w:r>
    </w:p>
    <w:p w14:paraId="62E2378F" w14:textId="77777777" w:rsidR="00873968" w:rsidRPr="0084708A" w:rsidRDefault="00873968" w:rsidP="004A6F56"/>
    <w:p w14:paraId="33062636" w14:textId="77777777" w:rsidR="00873968" w:rsidRDefault="00873968" w:rsidP="004A6F56">
      <w:pPr>
        <w:rPr>
          <w:lang w:val="en-GB" w:eastAsia="en-GB"/>
          <w14:ligatures w14:val="none"/>
        </w:rPr>
      </w:pPr>
      <w:r w:rsidRPr="0084708A">
        <w:rPr>
          <w:lang w:val="en-GB" w:eastAsia="en-GB"/>
          <w14:ligatures w14:val="none"/>
        </w:rPr>
        <w:t>This section presents the findings and discussion of the study in alignment with the research questions that guided the investigation. The study sought to explore the perspectives of students and educators regarding the essential skills students should develop to effectively manage academic pressures, particularly workloads and deadlines. Additionally, it aimed to identify actionable recommendations for educators and school leaders to foster a supportive educational environment that enhances resilience and equips students with the necessary skills and mindset to succeed both academically and personally in post-secondary education and beyond.</w:t>
      </w:r>
    </w:p>
    <w:p w14:paraId="28F259E9" w14:textId="77777777" w:rsidR="00CF6291" w:rsidRPr="0084708A" w:rsidRDefault="00CF6291" w:rsidP="004A6F56">
      <w:pPr>
        <w:rPr>
          <w:lang w:val="en-GB" w:eastAsia="en-GB"/>
          <w14:ligatures w14:val="none"/>
        </w:rPr>
      </w:pPr>
    </w:p>
    <w:p w14:paraId="3FA86B4B" w14:textId="189B19EF" w:rsidR="00873968" w:rsidRPr="0084708A" w:rsidRDefault="00873968" w:rsidP="004A6F56">
      <w:r w:rsidRPr="0084708A">
        <w:rPr>
          <w:lang w:val="en-GB" w:eastAsia="en-GB"/>
          <w14:ligatures w14:val="none"/>
        </w:rPr>
        <w:t xml:space="preserve">The findings are structured to address these research questions by providing an in-depth analysis of the skills identified by participants and their perceived importance in promoting resilience. The discussion further explores the implications of these findings, drawing on relevant literature to contextualise the results and offer practical insights for implementation. </w:t>
      </w:r>
    </w:p>
    <w:p w14:paraId="073A098B" w14:textId="77777777" w:rsidR="00A0161A" w:rsidRPr="0084708A" w:rsidRDefault="00A0161A" w:rsidP="004A6F56">
      <w:pPr>
        <w:rPr>
          <w:lang w:eastAsia="cs-CZ"/>
        </w:rPr>
      </w:pPr>
    </w:p>
    <w:p w14:paraId="2321A3C9" w14:textId="099C5BA5" w:rsidR="00A0161A" w:rsidRPr="0084708A" w:rsidRDefault="00A0161A" w:rsidP="00890F27">
      <w:pPr>
        <w:pStyle w:val="Heading3"/>
      </w:pPr>
      <w:r w:rsidRPr="0084708A">
        <w:t>Perceptions of Workloads and Deadlines</w:t>
      </w:r>
    </w:p>
    <w:p w14:paraId="5C951F4C" w14:textId="77777777" w:rsidR="00A0161A" w:rsidRPr="0084708A" w:rsidRDefault="00A0161A" w:rsidP="00FE6E39">
      <w:pPr>
        <w:ind w:firstLine="0"/>
        <w:rPr>
          <w:lang w:eastAsia="cs-CZ"/>
        </w:rPr>
      </w:pPr>
    </w:p>
    <w:p w14:paraId="0D07F8D6" w14:textId="0B8064CF" w:rsidR="00A0161A" w:rsidRPr="0084708A" w:rsidRDefault="00051B19" w:rsidP="00FE6E39">
      <w:r w:rsidRPr="0084708A">
        <w:t>The first question asked participants whether they agreed that workloads and deadlines negatively impact their wellbeing. All educators and students responded affirmatively, which aligns with the findings of Fatima et al. (2024). Their longitudinal study of 402 university faculty members demonstrated that work overload had a detrimental effect on wellbeing. The following question inquired whether reducing workloads and deadlines would resolve the issue. While all educators disagreed with this statement, seven students agreed, and five disagreed. The next question explored whether participants believed that workloads and deadlines would continue to increase as they progress in their education or careers. All educators concurred with this view, whereas 11 students acknowledged that they anticipated an increase, and only one student disagreed.</w:t>
      </w:r>
    </w:p>
    <w:p w14:paraId="169EBE34" w14:textId="77777777" w:rsidR="00051B19" w:rsidRPr="0084708A" w:rsidRDefault="00051B19" w:rsidP="00FE6E39">
      <w:pPr>
        <w:rPr>
          <w:lang w:eastAsia="cs-CZ"/>
        </w:rPr>
      </w:pPr>
    </w:p>
    <w:p w14:paraId="05E1F13A" w14:textId="271E2491" w:rsidR="00A0161A" w:rsidRPr="0084708A" w:rsidRDefault="00163370" w:rsidP="00890F27">
      <w:pPr>
        <w:pStyle w:val="Heading3"/>
      </w:pPr>
      <w:r w:rsidRPr="0084708A">
        <w:t xml:space="preserve"> </w:t>
      </w:r>
      <w:r w:rsidR="00A0161A" w:rsidRPr="0084708A">
        <w:t>Skills to Better Cope with Deadlines and Workloads</w:t>
      </w:r>
    </w:p>
    <w:p w14:paraId="47EFFC7C" w14:textId="77777777" w:rsidR="00A0161A" w:rsidRPr="0084708A" w:rsidRDefault="00A0161A" w:rsidP="00FE6E39">
      <w:pPr>
        <w:ind w:firstLine="0"/>
        <w:rPr>
          <w:lang w:eastAsia="cs-CZ"/>
        </w:rPr>
      </w:pPr>
    </w:p>
    <w:p w14:paraId="42BC73A7" w14:textId="09473461" w:rsidR="0009196C" w:rsidRPr="0084708A" w:rsidRDefault="00490BE4" w:rsidP="00FE6E39">
      <w:r w:rsidRPr="0084708A">
        <w:t>The analysis of the data gathered from both educators and students revealed a striking similarity in the skills they identified as essential for fostering academic resilience. Time management emerged as the most frequently mentioned skill, followed by problem-solving skills, emotional intelligence, growth mindset, adaptability</w:t>
      </w:r>
      <w:r w:rsidR="00892186" w:rsidRPr="0084708A">
        <w:t xml:space="preserve"> and</w:t>
      </w:r>
      <w:r w:rsidRPr="0084708A">
        <w:t xml:space="preserve"> self-efficacy. These skills were subsequently presented to participants during the focus group discussions, where they were asked to confirm their agreement and propose </w:t>
      </w:r>
      <w:r w:rsidR="0009196C" w:rsidRPr="0084708A">
        <w:t>how to classify them according to Lazarus and Folkman’s Transactional Theory of Stress and Coping (1984). It was agreed on a classification as shown in table 2</w:t>
      </w:r>
      <w:r w:rsidR="00293B36" w:rsidRPr="0084708A">
        <w:t xml:space="preserve">. Subsequently, they were asked to work together to propose </w:t>
      </w:r>
      <w:r w:rsidR="00293B36" w:rsidRPr="0084708A">
        <w:lastRenderedPageBreak/>
        <w:t xml:space="preserve">strategies and initiatives for integrating these skills into the school curriculum. Eventually the work of both focus groups was analysed and compiled as presented in this section. </w:t>
      </w:r>
    </w:p>
    <w:p w14:paraId="799C5DAE" w14:textId="77777777" w:rsidR="00BC01C0" w:rsidRDefault="00BC01C0" w:rsidP="00BC01C0">
      <w:pPr>
        <w:ind w:firstLine="0"/>
      </w:pPr>
    </w:p>
    <w:p w14:paraId="232DD406" w14:textId="7670771B" w:rsidR="00BC01C0" w:rsidRPr="0084708A" w:rsidRDefault="00BC01C0" w:rsidP="00BC01C0">
      <w:pPr>
        <w:pStyle w:val="Caption"/>
      </w:pPr>
      <w:bookmarkStart w:id="39" w:name="_Toc188540386"/>
      <w:r w:rsidRPr="00BC01C0">
        <w:t>Table 2: Problem-focused and emotion-focused strategies</w:t>
      </w:r>
      <w:bookmarkEnd w:id="3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9196C" w:rsidRPr="0084708A" w14:paraId="6A0F71C6" w14:textId="77777777" w:rsidTr="00D11893">
        <w:tc>
          <w:tcPr>
            <w:tcW w:w="4508" w:type="dxa"/>
            <w:tcBorders>
              <w:top w:val="single" w:sz="4" w:space="0" w:color="auto"/>
              <w:bottom w:val="single" w:sz="4" w:space="0" w:color="auto"/>
            </w:tcBorders>
          </w:tcPr>
          <w:p w14:paraId="0CB4C056" w14:textId="77777777" w:rsidR="0009196C" w:rsidRPr="0084708A" w:rsidRDefault="0009196C" w:rsidP="00CF6291">
            <w:pPr>
              <w:ind w:firstLine="0"/>
              <w:rPr>
                <w:b/>
                <w:bCs/>
              </w:rPr>
            </w:pPr>
            <w:r w:rsidRPr="0084708A">
              <w:rPr>
                <w:b/>
                <w:bCs/>
              </w:rPr>
              <w:t>Problem-Focused Strategies</w:t>
            </w:r>
          </w:p>
        </w:tc>
        <w:tc>
          <w:tcPr>
            <w:tcW w:w="4508" w:type="dxa"/>
            <w:tcBorders>
              <w:top w:val="single" w:sz="4" w:space="0" w:color="auto"/>
              <w:bottom w:val="single" w:sz="4" w:space="0" w:color="auto"/>
            </w:tcBorders>
          </w:tcPr>
          <w:p w14:paraId="0D434DE1" w14:textId="77777777" w:rsidR="0009196C" w:rsidRPr="0084708A" w:rsidRDefault="0009196C" w:rsidP="00CF6291">
            <w:pPr>
              <w:ind w:firstLine="0"/>
              <w:rPr>
                <w:b/>
                <w:bCs/>
              </w:rPr>
            </w:pPr>
            <w:r w:rsidRPr="0084708A">
              <w:rPr>
                <w:b/>
                <w:bCs/>
              </w:rPr>
              <w:t>Emotion-Focused Strategies</w:t>
            </w:r>
          </w:p>
        </w:tc>
      </w:tr>
      <w:tr w:rsidR="0009196C" w:rsidRPr="0084708A" w14:paraId="710EDD86" w14:textId="77777777" w:rsidTr="00D11893">
        <w:tc>
          <w:tcPr>
            <w:tcW w:w="4508" w:type="dxa"/>
            <w:tcBorders>
              <w:top w:val="single" w:sz="4" w:space="0" w:color="auto"/>
            </w:tcBorders>
          </w:tcPr>
          <w:p w14:paraId="6D8CAC3E" w14:textId="77777777" w:rsidR="0009196C" w:rsidRPr="0084708A" w:rsidRDefault="0009196C" w:rsidP="00CF6291">
            <w:pPr>
              <w:ind w:firstLine="0"/>
            </w:pPr>
            <w:r w:rsidRPr="0084708A">
              <w:t>Time management</w:t>
            </w:r>
          </w:p>
        </w:tc>
        <w:tc>
          <w:tcPr>
            <w:tcW w:w="4508" w:type="dxa"/>
            <w:tcBorders>
              <w:top w:val="single" w:sz="4" w:space="0" w:color="auto"/>
            </w:tcBorders>
          </w:tcPr>
          <w:p w14:paraId="48B8B544" w14:textId="77777777" w:rsidR="0009196C" w:rsidRPr="0084708A" w:rsidRDefault="0009196C" w:rsidP="00CF6291">
            <w:pPr>
              <w:ind w:firstLine="0"/>
            </w:pPr>
            <w:r w:rsidRPr="0084708A">
              <w:t>Emotional regulation</w:t>
            </w:r>
          </w:p>
        </w:tc>
      </w:tr>
      <w:tr w:rsidR="0009196C" w:rsidRPr="0084708A" w14:paraId="799DBDB8" w14:textId="77777777" w:rsidTr="00D11893">
        <w:tc>
          <w:tcPr>
            <w:tcW w:w="4508" w:type="dxa"/>
          </w:tcPr>
          <w:p w14:paraId="62554621" w14:textId="77777777" w:rsidR="0009196C" w:rsidRPr="0084708A" w:rsidRDefault="0009196C" w:rsidP="00CF6291">
            <w:pPr>
              <w:ind w:firstLine="0"/>
            </w:pPr>
            <w:r w:rsidRPr="0084708A">
              <w:t>Problem-solving skills</w:t>
            </w:r>
          </w:p>
        </w:tc>
        <w:tc>
          <w:tcPr>
            <w:tcW w:w="4508" w:type="dxa"/>
          </w:tcPr>
          <w:p w14:paraId="7C7041EB" w14:textId="7EF303D0" w:rsidR="0009196C" w:rsidRPr="0084708A" w:rsidRDefault="00740237" w:rsidP="00CF6291">
            <w:pPr>
              <w:ind w:firstLine="0"/>
            </w:pPr>
            <w:r>
              <w:t>Cognitive reframing</w:t>
            </w:r>
          </w:p>
        </w:tc>
      </w:tr>
      <w:tr w:rsidR="0009196C" w:rsidRPr="0084708A" w14:paraId="0C226048" w14:textId="77777777" w:rsidTr="00D11893">
        <w:tc>
          <w:tcPr>
            <w:tcW w:w="4508" w:type="dxa"/>
          </w:tcPr>
          <w:p w14:paraId="338424AB" w14:textId="77777777" w:rsidR="0009196C" w:rsidRPr="0084708A" w:rsidRDefault="0009196C" w:rsidP="00CF6291">
            <w:pPr>
              <w:ind w:firstLine="0"/>
            </w:pPr>
            <w:r w:rsidRPr="0084708A">
              <w:t>Adaptability</w:t>
            </w:r>
          </w:p>
        </w:tc>
        <w:tc>
          <w:tcPr>
            <w:tcW w:w="4508" w:type="dxa"/>
          </w:tcPr>
          <w:p w14:paraId="6F7F9274" w14:textId="3754E008" w:rsidR="0009196C" w:rsidRPr="0084708A" w:rsidRDefault="00740237" w:rsidP="00CF6291">
            <w:pPr>
              <w:ind w:firstLine="0"/>
            </w:pPr>
            <w:r w:rsidRPr="0084708A">
              <w:t>Growth mindset</w:t>
            </w:r>
          </w:p>
        </w:tc>
      </w:tr>
      <w:tr w:rsidR="0009196C" w:rsidRPr="0084708A" w14:paraId="2D947C75" w14:textId="77777777" w:rsidTr="00D11893">
        <w:tc>
          <w:tcPr>
            <w:tcW w:w="4508" w:type="dxa"/>
          </w:tcPr>
          <w:p w14:paraId="1DD4729D" w14:textId="77777777" w:rsidR="0009196C" w:rsidRPr="0084708A" w:rsidRDefault="0009196C" w:rsidP="00CF6291">
            <w:pPr>
              <w:ind w:firstLine="0"/>
            </w:pPr>
            <w:r w:rsidRPr="0084708A">
              <w:t>Self-efficacy</w:t>
            </w:r>
          </w:p>
        </w:tc>
        <w:tc>
          <w:tcPr>
            <w:tcW w:w="4508" w:type="dxa"/>
          </w:tcPr>
          <w:p w14:paraId="7A3DBD4F" w14:textId="54B6BDC7" w:rsidR="0009196C" w:rsidRPr="0084708A" w:rsidRDefault="00740237" w:rsidP="00CF6291">
            <w:pPr>
              <w:keepNext/>
              <w:ind w:firstLine="0"/>
            </w:pPr>
            <w:r>
              <w:t>Mindfulness</w:t>
            </w:r>
          </w:p>
        </w:tc>
      </w:tr>
    </w:tbl>
    <w:p w14:paraId="260F9B4C" w14:textId="77777777" w:rsidR="00733657" w:rsidRPr="0084708A" w:rsidRDefault="00733657" w:rsidP="00FE6E39"/>
    <w:p w14:paraId="3A7C10F0" w14:textId="28AB6896" w:rsidR="00A0161A" w:rsidRPr="0084708A" w:rsidRDefault="0082217C" w:rsidP="00890F27">
      <w:pPr>
        <w:pStyle w:val="Heading3"/>
      </w:pPr>
      <w:r w:rsidRPr="0084708A">
        <w:t>Problem-Focused Strategies</w:t>
      </w:r>
    </w:p>
    <w:p w14:paraId="44A2A9DE" w14:textId="77777777" w:rsidR="00A0161A" w:rsidRPr="0084708A" w:rsidRDefault="00A0161A" w:rsidP="00FE6E39">
      <w:pPr>
        <w:rPr>
          <w:lang w:eastAsia="cs-CZ"/>
        </w:rPr>
      </w:pPr>
    </w:p>
    <w:p w14:paraId="2F5B8BF5" w14:textId="77777777" w:rsidR="00A0161A" w:rsidRPr="0084708A" w:rsidRDefault="00A0161A" w:rsidP="00FE6E39">
      <w:pPr>
        <w:pStyle w:val="Heading4"/>
        <w:spacing w:before="0" w:after="0"/>
      </w:pPr>
      <w:r w:rsidRPr="0084708A">
        <w:t>Time Management</w:t>
      </w:r>
    </w:p>
    <w:p w14:paraId="2AF92781" w14:textId="77777777" w:rsidR="00C75C49" w:rsidRPr="0084708A" w:rsidRDefault="00C75C49" w:rsidP="00FE6E39"/>
    <w:p w14:paraId="23CACB81" w14:textId="129ECB1C" w:rsidR="007D5D79" w:rsidRPr="0084708A" w:rsidRDefault="00C75C49" w:rsidP="00FE6E39">
      <w:pPr>
        <w:rPr>
          <w:lang w:val="en-GB" w:eastAsia="en-GB"/>
        </w:rPr>
      </w:pPr>
      <w:r w:rsidRPr="0084708A">
        <w:rPr>
          <w:lang w:val="en-GB" w:eastAsia="en-GB"/>
        </w:rPr>
        <w:t>Both educators and students consistently highlighted time management as a critical skill for handling academic demands. Alyami et al. (2021) argue that time management allows post-secondary students to develop good study habits, structure their activities, and create a balance between study and relaxation. One student expressed the importance of organisational skills in time management by stating</w:t>
      </w:r>
      <w:r w:rsidR="008531CD" w:rsidRPr="0084708A">
        <w:rPr>
          <w:lang w:val="en-GB" w:eastAsia="en-GB"/>
        </w:rPr>
        <w:t>:</w:t>
      </w:r>
    </w:p>
    <w:p w14:paraId="459FE65A" w14:textId="3BA42922" w:rsidR="00C75C49" w:rsidRPr="0084708A" w:rsidRDefault="00C75C49" w:rsidP="00FE6E39">
      <w:pPr>
        <w:ind w:left="567" w:right="804" w:firstLine="0"/>
        <w:rPr>
          <w:lang w:val="en-GB" w:eastAsia="en-GB"/>
        </w:rPr>
      </w:pPr>
      <w:r w:rsidRPr="0084708A">
        <w:rPr>
          <w:lang w:val="en-GB" w:eastAsia="en-GB"/>
        </w:rPr>
        <w:t xml:space="preserve">“Writing down a list of work that </w:t>
      </w:r>
      <w:proofErr w:type="gramStart"/>
      <w:r w:rsidRPr="0084708A">
        <w:rPr>
          <w:lang w:val="en-GB" w:eastAsia="en-GB"/>
        </w:rPr>
        <w:t>has to</w:t>
      </w:r>
      <w:proofErr w:type="gramEnd"/>
      <w:r w:rsidRPr="0084708A">
        <w:rPr>
          <w:lang w:val="en-GB" w:eastAsia="en-GB"/>
        </w:rPr>
        <w:t xml:space="preserve"> be done on a diary and do a timetable or a schedule to try to get them done on time. Also, time management, so as not to procrastinate or leave tasks for the last minute. And be able to focus on a target, to be determined that if you have work to be done, you are determined to do it without excuses. Sort of self-discipline” (Student 11).</w:t>
      </w:r>
    </w:p>
    <w:p w14:paraId="5B1FD6FB" w14:textId="77777777" w:rsidR="00B44773" w:rsidRPr="0084708A" w:rsidRDefault="00B44773" w:rsidP="00FE6E39">
      <w:pPr>
        <w:ind w:right="571" w:firstLine="0"/>
        <w:rPr>
          <w:color w:val="202124"/>
          <w:spacing w:val="3"/>
        </w:rPr>
      </w:pPr>
    </w:p>
    <w:p w14:paraId="6840B90F" w14:textId="7FD70A3F" w:rsidR="00B44773" w:rsidRPr="0084708A" w:rsidRDefault="00B44773" w:rsidP="00FE6E39">
      <w:pPr>
        <w:rPr>
          <w:lang w:val="en-GB" w:eastAsia="en-GB"/>
        </w:rPr>
      </w:pPr>
      <w:r w:rsidRPr="0084708A">
        <w:t xml:space="preserve">This response aligns with the recommendations presented by Calonia </w:t>
      </w:r>
      <w:r w:rsidR="004D3CD5">
        <w:t>et al.</w:t>
      </w:r>
      <w:r w:rsidRPr="0084708A">
        <w:t xml:space="preserve"> (2023), which emphasise effective time management, prioritising urgent work, avoiding procrastination, focusing on important tasks, maintaining work-life balance, and balancing socialisation for academic success. Training teachers to encourage students to address their psychological dimensions through supportive strategies, could empower students to foster a more constructive perspective of their academic progress, acquiring higher resilience and willingness to succeed (</w:t>
      </w:r>
      <w:r w:rsidR="004B45CB" w:rsidRPr="0084708A">
        <w:t>Diab &amp; Green, 2024</w:t>
      </w:r>
      <w:r w:rsidRPr="0084708A">
        <w:t>).</w:t>
      </w:r>
    </w:p>
    <w:p w14:paraId="68A8923C" w14:textId="77777777" w:rsidR="00D2290C" w:rsidRPr="0084708A" w:rsidRDefault="00D2290C" w:rsidP="00FE6E39">
      <w:pPr>
        <w:ind w:left="567" w:right="804" w:firstLine="0"/>
        <w:rPr>
          <w:lang w:val="en-GB" w:eastAsia="en-GB"/>
        </w:rPr>
      </w:pPr>
    </w:p>
    <w:p w14:paraId="2254F4B9" w14:textId="2BE0D561" w:rsidR="00C75C49" w:rsidRPr="0084708A" w:rsidRDefault="00D2290C" w:rsidP="00FE6E39">
      <w:pPr>
        <w:rPr>
          <w:lang w:val="en-GB" w:eastAsia="en-GB"/>
        </w:rPr>
      </w:pPr>
      <w:r w:rsidRPr="0084708A">
        <w:rPr>
          <w:lang w:val="en-GB" w:eastAsia="en-GB"/>
        </w:rPr>
        <w:t>During the focus groups, students and e</w:t>
      </w:r>
      <w:r w:rsidR="00C75C49" w:rsidRPr="0084708A">
        <w:rPr>
          <w:lang w:val="en-GB" w:eastAsia="en-GB"/>
        </w:rPr>
        <w:t>ducators suggested strategies such as guiding students to break down complex assignments into smaller, manageable steps and prioritising tasks to ensure a balance between academic and personal life. Research supports these recommendations, with MacCann et al. (2020) reporting that students with effective time management skills experience lower stress levels and higher academic achievement.</w:t>
      </w:r>
    </w:p>
    <w:p w14:paraId="09408182" w14:textId="77777777" w:rsidR="00B668D4" w:rsidRPr="0084708A" w:rsidRDefault="00B668D4" w:rsidP="00FE6E39">
      <w:pPr>
        <w:rPr>
          <w:lang w:val="en-GB" w:eastAsia="en-GB"/>
        </w:rPr>
      </w:pPr>
    </w:p>
    <w:p w14:paraId="3C5927B3" w14:textId="77777777" w:rsidR="00B668D4" w:rsidRPr="0084708A" w:rsidRDefault="00B668D4" w:rsidP="00FE6E39">
      <w:pPr>
        <w:pStyle w:val="Heading4"/>
        <w:spacing w:before="0" w:after="0"/>
        <w:rPr>
          <w:lang w:val="en-GB" w:eastAsia="en-GB"/>
        </w:rPr>
      </w:pPr>
      <w:r w:rsidRPr="0084708A">
        <w:rPr>
          <w:lang w:val="en-GB" w:eastAsia="en-GB"/>
        </w:rPr>
        <w:t>Problem-Solving Skills</w:t>
      </w:r>
    </w:p>
    <w:p w14:paraId="57731D2C" w14:textId="77777777" w:rsidR="00351471" w:rsidRPr="0084708A" w:rsidRDefault="00351471" w:rsidP="00FE6E39">
      <w:pPr>
        <w:rPr>
          <w:lang w:val="en-GB" w:eastAsia="en-GB"/>
        </w:rPr>
      </w:pPr>
    </w:p>
    <w:p w14:paraId="326CA4D7" w14:textId="77777777" w:rsidR="00856EDD" w:rsidRPr="0084708A" w:rsidRDefault="00B668D4" w:rsidP="00FE6E39">
      <w:pPr>
        <w:rPr>
          <w:lang w:val="en-GB" w:eastAsia="en-GB"/>
        </w:rPr>
      </w:pPr>
      <w:r w:rsidRPr="0084708A">
        <w:rPr>
          <w:lang w:val="en-GB" w:eastAsia="en-GB"/>
        </w:rPr>
        <w:t xml:space="preserve">Problem-solving was another highly ranked skill that students and educators considered essential for academic resilience. It enables students to systematically address challenges by identifying, evaluating, and implementing effective solutions. Research indicates that problem-solving skills, coupled with metacognitive strategies, enhance decision-making, adaptability, and goal achievement (Lazarus &amp; Folkman, 1984; Cefai, 2021). A student underscored the importance of guided problem-solving: </w:t>
      </w:r>
    </w:p>
    <w:p w14:paraId="4354E102" w14:textId="3C76BE3B" w:rsidR="00B668D4" w:rsidRPr="0084708A" w:rsidRDefault="00B668D4" w:rsidP="00FE6E39">
      <w:pPr>
        <w:ind w:left="567" w:right="804" w:firstLine="0"/>
        <w:rPr>
          <w:lang w:val="en-GB" w:eastAsia="en-GB"/>
          <w14:ligatures w14:val="none"/>
        </w:rPr>
      </w:pPr>
      <w:r w:rsidRPr="0084708A">
        <w:rPr>
          <w:lang w:val="en-GB" w:eastAsia="en-GB"/>
        </w:rPr>
        <w:t xml:space="preserve">“By giving </w:t>
      </w:r>
      <w:r w:rsidR="00351471" w:rsidRPr="0084708A">
        <w:rPr>
          <w:lang w:val="en-GB" w:eastAsia="en-GB"/>
        </w:rPr>
        <w:t>students</w:t>
      </w:r>
      <w:r w:rsidRPr="0084708A">
        <w:rPr>
          <w:lang w:val="en-GB" w:eastAsia="en-GB"/>
        </w:rPr>
        <w:t xml:space="preserve"> challenging tasks and guid</w:t>
      </w:r>
      <w:r w:rsidR="00351471" w:rsidRPr="0084708A">
        <w:rPr>
          <w:lang w:val="en-GB" w:eastAsia="en-GB"/>
        </w:rPr>
        <w:t>ing</w:t>
      </w:r>
      <w:r w:rsidRPr="0084708A">
        <w:rPr>
          <w:lang w:val="en-GB" w:eastAsia="en-GB"/>
        </w:rPr>
        <w:t xml:space="preserve"> th</w:t>
      </w:r>
      <w:r w:rsidRPr="0084708A">
        <w:rPr>
          <w:lang w:val="en-GB" w:eastAsia="en-GB"/>
          <w14:ligatures w14:val="none"/>
        </w:rPr>
        <w:t xml:space="preserve">em </w:t>
      </w:r>
      <w:r w:rsidR="00856EDD" w:rsidRPr="0084708A">
        <w:rPr>
          <w:lang w:val="en-GB" w:eastAsia="en-GB"/>
          <w14:ligatures w14:val="none"/>
        </w:rPr>
        <w:t>to break down the problem into simple manageable parts</w:t>
      </w:r>
      <w:r w:rsidRPr="0084708A">
        <w:rPr>
          <w:lang w:val="en-GB" w:eastAsia="en-GB"/>
          <w14:ligatures w14:val="none"/>
        </w:rPr>
        <w:t xml:space="preserve">. </w:t>
      </w:r>
      <w:r w:rsidR="00856EDD" w:rsidRPr="0084708A">
        <w:rPr>
          <w:lang w:val="en-GB" w:eastAsia="en-GB"/>
          <w14:ligatures w14:val="none"/>
        </w:rPr>
        <w:t>Teachers should not</w:t>
      </w:r>
      <w:r w:rsidRPr="0084708A">
        <w:rPr>
          <w:lang w:val="en-GB" w:eastAsia="en-GB"/>
          <w14:ligatures w14:val="none"/>
        </w:rPr>
        <w:t xml:space="preserve"> giv</w:t>
      </w:r>
      <w:r w:rsidR="00856EDD" w:rsidRPr="0084708A">
        <w:rPr>
          <w:lang w:val="en-GB" w:eastAsia="en-GB"/>
          <w14:ligatures w14:val="none"/>
        </w:rPr>
        <w:t>e students</w:t>
      </w:r>
      <w:r w:rsidRPr="0084708A">
        <w:rPr>
          <w:lang w:val="en-GB" w:eastAsia="en-GB"/>
          <w14:ligatures w14:val="none"/>
        </w:rPr>
        <w:t xml:space="preserve"> a </w:t>
      </w:r>
      <w:r w:rsidRPr="0084708A">
        <w:rPr>
          <w:lang w:val="en-GB" w:eastAsia="en-GB"/>
          <w14:ligatures w14:val="none"/>
        </w:rPr>
        <w:lastRenderedPageBreak/>
        <w:t>problem and leav</w:t>
      </w:r>
      <w:r w:rsidR="00856EDD" w:rsidRPr="0084708A">
        <w:rPr>
          <w:lang w:val="en-GB" w:eastAsia="en-GB"/>
          <w14:ligatures w14:val="none"/>
        </w:rPr>
        <w:t>e</w:t>
      </w:r>
      <w:r w:rsidRPr="0084708A">
        <w:rPr>
          <w:lang w:val="en-GB" w:eastAsia="en-GB"/>
          <w14:ligatures w14:val="none"/>
        </w:rPr>
        <w:t xml:space="preserve"> them struggling by themselves but offer guidance as not to have the student get disheartened” (Student 7).</w:t>
      </w:r>
    </w:p>
    <w:p w14:paraId="5917BD1C" w14:textId="77777777" w:rsidR="00856EDD" w:rsidRPr="0084708A" w:rsidRDefault="00856EDD" w:rsidP="00FE6E39">
      <w:pPr>
        <w:rPr>
          <w:lang w:val="en-GB" w:eastAsia="en-GB"/>
          <w14:ligatures w14:val="none"/>
        </w:rPr>
      </w:pPr>
    </w:p>
    <w:p w14:paraId="44D6E058" w14:textId="72D5238E" w:rsidR="00F4138F" w:rsidRPr="0084708A" w:rsidRDefault="00B668D4" w:rsidP="00FE6E39">
      <w:pPr>
        <w:rPr>
          <w:color w:val="202124"/>
          <w:spacing w:val="3"/>
          <w:shd w:val="clear" w:color="auto" w:fill="F8F9FA"/>
        </w:rPr>
      </w:pPr>
      <w:r w:rsidRPr="0084708A">
        <w:rPr>
          <w:lang w:val="en-GB" w:eastAsia="en-GB"/>
        </w:rPr>
        <w:t>Educators proposed incorporating collaborative projects and experiential learning to develop students' problem-solving capabilities. This aligns with the findings of Durlak et al. (2011), which suggest that structured problem-solving interventions can prepare students to navigate academic challenges with greater ease.</w:t>
      </w:r>
      <w:r w:rsidR="001D68BE" w:rsidRPr="0084708A">
        <w:rPr>
          <w:lang w:val="en-GB" w:eastAsia="en-GB"/>
        </w:rPr>
        <w:t xml:space="preserve"> However</w:t>
      </w:r>
      <w:r w:rsidR="008432BB" w:rsidRPr="0084708A">
        <w:rPr>
          <w:lang w:val="en-GB" w:eastAsia="en-GB"/>
        </w:rPr>
        <w:t>,</w:t>
      </w:r>
      <w:r w:rsidR="001D68BE" w:rsidRPr="0084708A">
        <w:rPr>
          <w:lang w:val="en-GB" w:eastAsia="en-GB"/>
        </w:rPr>
        <w:t xml:space="preserve"> students proposed </w:t>
      </w:r>
      <w:r w:rsidR="00F4138F" w:rsidRPr="0084708A">
        <w:rPr>
          <w:lang w:eastAsia="cs-CZ"/>
        </w:rPr>
        <w:t xml:space="preserve">one-to-one help during specifically dedicated contact hours during which students can benefit from private mentoring during school hours. </w:t>
      </w:r>
    </w:p>
    <w:p w14:paraId="02696790" w14:textId="77777777" w:rsidR="00F4138F" w:rsidRPr="0084708A" w:rsidRDefault="00F4138F" w:rsidP="00FE6E39">
      <w:pPr>
        <w:ind w:right="571" w:firstLine="0"/>
        <w:rPr>
          <w:color w:val="202124"/>
          <w:spacing w:val="3"/>
          <w:shd w:val="clear" w:color="auto" w:fill="F8F9FA"/>
        </w:rPr>
      </w:pPr>
    </w:p>
    <w:p w14:paraId="3ECE12E2" w14:textId="69576E58" w:rsidR="00F4138F" w:rsidRPr="0084708A" w:rsidRDefault="00CC34A5" w:rsidP="00FE6E39">
      <w:pPr>
        <w:rPr>
          <w:shd w:val="clear" w:color="auto" w:fill="F8F9FA"/>
        </w:rPr>
      </w:pPr>
      <w:r w:rsidRPr="0084708A">
        <w:t>P</w:t>
      </w:r>
      <w:r w:rsidR="00F4138F" w:rsidRPr="0084708A">
        <w:t>roblem-solving skills are necessary to prepare students succeed in the ever-evolving world (MEYR, 2023). Such skills enable students adapt to new conditions and find effective solutions to complex unexpected situations even later in life when they are on the workplace. These are skills encouraged by the Maltese strategy for education 2024-30 (MEYR, 2023).</w:t>
      </w:r>
      <w:r w:rsidR="00F4138F" w:rsidRPr="0084708A">
        <w:rPr>
          <w:shd w:val="clear" w:color="auto" w:fill="F8F9FA"/>
        </w:rPr>
        <w:t xml:space="preserve"> </w:t>
      </w:r>
    </w:p>
    <w:p w14:paraId="5100E695" w14:textId="77777777" w:rsidR="003C0380" w:rsidRPr="0084708A" w:rsidRDefault="003C0380" w:rsidP="00FE6E39">
      <w:pPr>
        <w:rPr>
          <w:lang w:val="en-GB" w:eastAsia="en-GB"/>
        </w:rPr>
      </w:pPr>
    </w:p>
    <w:p w14:paraId="63F9EB7F" w14:textId="77777777" w:rsidR="003C0380" w:rsidRPr="0084708A" w:rsidRDefault="003C0380" w:rsidP="00FE6E39">
      <w:pPr>
        <w:pStyle w:val="Heading4"/>
        <w:spacing w:before="0" w:after="0"/>
        <w:rPr>
          <w:lang w:val="en-GB" w:eastAsia="en-GB"/>
        </w:rPr>
      </w:pPr>
      <w:r w:rsidRPr="0084708A">
        <w:rPr>
          <w:lang w:val="en-GB" w:eastAsia="en-GB"/>
        </w:rPr>
        <w:t>Adaptability</w:t>
      </w:r>
    </w:p>
    <w:p w14:paraId="10E71FB4" w14:textId="77777777" w:rsidR="003C0380" w:rsidRPr="0084708A" w:rsidRDefault="003C0380" w:rsidP="00FE6E39">
      <w:pPr>
        <w:rPr>
          <w:lang w:val="en-GB" w:eastAsia="en-GB"/>
        </w:rPr>
      </w:pPr>
    </w:p>
    <w:p w14:paraId="6747FB46" w14:textId="1DA839AE" w:rsidR="002B50AF" w:rsidRPr="0084708A" w:rsidRDefault="003C0380" w:rsidP="00FE6E39">
      <w:pPr>
        <w:rPr>
          <w:lang w:val="en-GB" w:eastAsia="en-GB"/>
        </w:rPr>
      </w:pPr>
      <w:r w:rsidRPr="0084708A">
        <w:rPr>
          <w:lang w:val="en-GB" w:eastAsia="en-GB"/>
        </w:rPr>
        <w:t xml:space="preserve">Adaptability was identified as a crucial factor in helping students cope with evolving academic demands. Ungar (2021) suggests that adaptable students are more likely to remain motivated and resilient when facing challenges. One </w:t>
      </w:r>
      <w:r w:rsidR="00096ED2" w:rsidRPr="0084708A">
        <w:rPr>
          <w:lang w:val="en-GB" w:eastAsia="en-GB"/>
        </w:rPr>
        <w:t>educator</w:t>
      </w:r>
      <w:r w:rsidRPr="0084708A">
        <w:rPr>
          <w:lang w:val="en-GB" w:eastAsia="en-GB"/>
        </w:rPr>
        <w:t xml:space="preserve"> described adaptability as essential in adjusting to new academic expectations, stating</w:t>
      </w:r>
      <w:r w:rsidR="002B50AF" w:rsidRPr="0084708A">
        <w:rPr>
          <w:lang w:val="en-GB" w:eastAsia="en-GB"/>
        </w:rPr>
        <w:t>:</w:t>
      </w:r>
      <w:r w:rsidRPr="0084708A">
        <w:rPr>
          <w:lang w:val="en-GB" w:eastAsia="en-GB"/>
        </w:rPr>
        <w:t xml:space="preserve"> </w:t>
      </w:r>
    </w:p>
    <w:p w14:paraId="05CC652C" w14:textId="39FE022D" w:rsidR="003C0380" w:rsidRPr="0084708A" w:rsidRDefault="003C0380" w:rsidP="00FE6E39">
      <w:pPr>
        <w:ind w:left="567" w:right="804" w:firstLine="0"/>
        <w:rPr>
          <w:lang w:val="en-GB" w:eastAsia="en-GB"/>
        </w:rPr>
      </w:pPr>
      <w:r w:rsidRPr="0084708A">
        <w:rPr>
          <w:lang w:val="en-GB" w:eastAsia="en-GB"/>
        </w:rPr>
        <w:t>“Educators can help students by giving them the right kind of support. They can analyse what a student knows and what they need to learn next. Then, they can give tasks that are just a bit harder than what the student can do on their own, but still possible with some help” (</w:t>
      </w:r>
      <w:r w:rsidR="00096ED2" w:rsidRPr="0084708A">
        <w:rPr>
          <w:lang w:val="en-GB" w:eastAsia="en-GB"/>
        </w:rPr>
        <w:t>Educator</w:t>
      </w:r>
      <w:r w:rsidRPr="0084708A">
        <w:rPr>
          <w:lang w:val="en-GB" w:eastAsia="en-GB"/>
        </w:rPr>
        <w:t xml:space="preserve"> 9).</w:t>
      </w:r>
    </w:p>
    <w:p w14:paraId="1416D85C" w14:textId="77777777" w:rsidR="002B50AF" w:rsidRPr="0084708A" w:rsidRDefault="002B50AF" w:rsidP="00FE6E39">
      <w:pPr>
        <w:ind w:left="567" w:right="804" w:firstLine="0"/>
        <w:rPr>
          <w:lang w:val="en-GB" w:eastAsia="en-GB"/>
        </w:rPr>
      </w:pPr>
    </w:p>
    <w:p w14:paraId="2EDB1AF2" w14:textId="71F90BE6" w:rsidR="00E240AD" w:rsidRPr="0084708A" w:rsidRDefault="00E240AD" w:rsidP="00FE6E39">
      <w:pPr>
        <w:rPr>
          <w:shd w:val="clear" w:color="auto" w:fill="F8F9FA"/>
        </w:rPr>
      </w:pPr>
      <w:r w:rsidRPr="0084708A">
        <w:t xml:space="preserve">This student articulated very well Lev Vygotsky’s concept of the zone of proximal development. </w:t>
      </w:r>
      <w:proofErr w:type="spellStart"/>
      <w:r w:rsidRPr="0084708A">
        <w:t>Smagorinsky</w:t>
      </w:r>
      <w:proofErr w:type="spellEnd"/>
      <w:r w:rsidRPr="0084708A">
        <w:t xml:space="preserve"> (2018), argues that educators are instrumental at aiding the students learn skills that extend their capabilities. Scaffolding is an important skill that teachers should be trained in. Muntasir &amp; Akbar (2023) claim that scaffolding is a very effective technique at encouraging growth according</w:t>
      </w:r>
      <w:r w:rsidRPr="0084708A">
        <w:rPr>
          <w:shd w:val="clear" w:color="auto" w:fill="F8F9FA"/>
        </w:rPr>
        <w:t xml:space="preserve"> </w:t>
      </w:r>
      <w:r w:rsidRPr="0084708A">
        <w:t>to Lev Vygotsky’s</w:t>
      </w:r>
      <w:r w:rsidR="005E329B" w:rsidRPr="0084708A">
        <w:t xml:space="preserve"> (1978)</w:t>
      </w:r>
      <w:r w:rsidRPr="0084708A">
        <w:t xml:space="preserve"> concept of the zone of proximal development</w:t>
      </w:r>
      <w:r w:rsidRPr="0084708A">
        <w:rPr>
          <w:shd w:val="clear" w:color="auto" w:fill="F8F9FA"/>
        </w:rPr>
        <w:t xml:space="preserve">. </w:t>
      </w:r>
    </w:p>
    <w:p w14:paraId="67ED7943" w14:textId="77777777" w:rsidR="00E240AD" w:rsidRPr="0084708A" w:rsidRDefault="00E240AD" w:rsidP="00FE6E39">
      <w:pPr>
        <w:rPr>
          <w:shd w:val="clear" w:color="auto" w:fill="F8F9FA"/>
        </w:rPr>
      </w:pPr>
    </w:p>
    <w:p w14:paraId="0D51EA08" w14:textId="47347A45" w:rsidR="003C0380" w:rsidRPr="0084708A" w:rsidRDefault="003C0380" w:rsidP="00FE6E39">
      <w:pPr>
        <w:rPr>
          <w:lang w:val="en-GB" w:eastAsia="en-GB"/>
        </w:rPr>
      </w:pPr>
      <w:r w:rsidRPr="0084708A">
        <w:rPr>
          <w:lang w:val="en-GB" w:eastAsia="en-GB"/>
        </w:rPr>
        <w:t xml:space="preserve">Educators recommended incorporating project-based learning </w:t>
      </w:r>
      <w:r w:rsidR="00DA79B0" w:rsidRPr="0084708A">
        <w:rPr>
          <w:lang w:val="en-GB" w:eastAsia="en-GB"/>
        </w:rPr>
        <w:t xml:space="preserve">according to the student’s capability, always encouraging them to extend their zone of proximal development (Vygotsky, 1978). </w:t>
      </w:r>
      <w:r w:rsidR="00230B90" w:rsidRPr="0084708A">
        <w:rPr>
          <w:lang w:val="en-GB" w:eastAsia="en-GB"/>
        </w:rPr>
        <w:t>They also proposed more</w:t>
      </w:r>
      <w:r w:rsidRPr="0084708A">
        <w:rPr>
          <w:lang w:val="en-GB" w:eastAsia="en-GB"/>
        </w:rPr>
        <w:t xml:space="preserve"> experiential learning</w:t>
      </w:r>
      <w:r w:rsidR="00230B90" w:rsidRPr="0084708A">
        <w:rPr>
          <w:lang w:val="en-GB" w:eastAsia="en-GB"/>
        </w:rPr>
        <w:t xml:space="preserve"> where possible,</w:t>
      </w:r>
      <w:r w:rsidRPr="0084708A">
        <w:rPr>
          <w:lang w:val="en-GB" w:eastAsia="en-GB"/>
        </w:rPr>
        <w:t xml:space="preserve"> as an effective tool for cultivating adaptive skills in students</w:t>
      </w:r>
      <w:r w:rsidR="00230B90" w:rsidRPr="0084708A">
        <w:rPr>
          <w:lang w:val="en-GB" w:eastAsia="en-GB"/>
        </w:rPr>
        <w:t xml:space="preserve"> Cefai and Spiteri (2020)</w:t>
      </w:r>
      <w:r w:rsidRPr="0084708A">
        <w:rPr>
          <w:lang w:val="en-GB" w:eastAsia="en-GB"/>
        </w:rPr>
        <w:t>.</w:t>
      </w:r>
    </w:p>
    <w:p w14:paraId="28C08C9C" w14:textId="77777777" w:rsidR="00CC34A5" w:rsidRPr="0084708A" w:rsidRDefault="00CC34A5" w:rsidP="00FE6E39">
      <w:pPr>
        <w:rPr>
          <w:lang w:val="en-GB" w:eastAsia="en-GB"/>
        </w:rPr>
      </w:pPr>
    </w:p>
    <w:p w14:paraId="4040FBED" w14:textId="77777777" w:rsidR="0023778D" w:rsidRPr="0084708A" w:rsidRDefault="0023778D" w:rsidP="00FE6E39">
      <w:pPr>
        <w:pStyle w:val="Heading4"/>
        <w:spacing w:before="0" w:after="0"/>
        <w:rPr>
          <w:lang w:val="en-GB" w:eastAsia="en-GB"/>
        </w:rPr>
      </w:pPr>
      <w:r w:rsidRPr="0084708A">
        <w:rPr>
          <w:lang w:val="en-GB" w:eastAsia="en-GB"/>
        </w:rPr>
        <w:t>Self-Efficacy</w:t>
      </w:r>
    </w:p>
    <w:p w14:paraId="354B9026" w14:textId="77777777" w:rsidR="0023778D" w:rsidRPr="0084708A" w:rsidRDefault="0023778D" w:rsidP="00FE6E39">
      <w:pPr>
        <w:rPr>
          <w:lang w:val="en-GB" w:eastAsia="en-GB"/>
        </w:rPr>
      </w:pPr>
    </w:p>
    <w:p w14:paraId="5E767E9F" w14:textId="64694635" w:rsidR="00E240AD" w:rsidRPr="0084708A" w:rsidRDefault="0023778D" w:rsidP="00FE6E39">
      <w:pPr>
        <w:rPr>
          <w:lang w:val="en-GB" w:eastAsia="en-GB"/>
        </w:rPr>
      </w:pPr>
      <w:r w:rsidRPr="0084708A">
        <w:rPr>
          <w:lang w:val="en-GB" w:eastAsia="en-GB"/>
        </w:rPr>
        <w:t xml:space="preserve">Self-efficacy, defined as the belief in one’s ability to succeed, was another skill identified by both groups. Bandura's (1997) social cognitive theory suggests that students with strong self-efficacy are more likely to persevere through challenges. However, findings revealed that many students were unfamiliar with the term “self-efficacy,” as indicated by responses such as “I don’t know what this means.” </w:t>
      </w:r>
      <w:r w:rsidR="002931C1" w:rsidRPr="0084708A">
        <w:rPr>
          <w:lang w:eastAsia="cs-CZ"/>
        </w:rPr>
        <w:t xml:space="preserve">Others replied: “believing in myself”, “to be efficient”, “to try to be yourself”, and one replied “to be more intelligent”. </w:t>
      </w:r>
      <w:r w:rsidRPr="0084708A">
        <w:rPr>
          <w:lang w:val="en-GB" w:eastAsia="en-GB"/>
        </w:rPr>
        <w:t>Only one student provided a relevant definition, stating</w:t>
      </w:r>
      <w:r w:rsidR="00E240AD" w:rsidRPr="0084708A">
        <w:rPr>
          <w:lang w:val="en-GB" w:eastAsia="en-GB"/>
        </w:rPr>
        <w:t>:</w:t>
      </w:r>
    </w:p>
    <w:p w14:paraId="180D8812" w14:textId="617F59F4" w:rsidR="0023778D" w:rsidRPr="0084708A" w:rsidRDefault="0023778D" w:rsidP="00FE6E39">
      <w:pPr>
        <w:ind w:left="567" w:right="804" w:firstLine="0"/>
        <w:rPr>
          <w:lang w:val="en-GB" w:eastAsia="en-GB"/>
        </w:rPr>
      </w:pPr>
      <w:r w:rsidRPr="0084708A">
        <w:rPr>
          <w:lang w:val="en-GB" w:eastAsia="en-GB"/>
        </w:rPr>
        <w:t xml:space="preserve">“To be confident that you are up to a challenge. For example, if you have a difficult Maths problem, you are aware that it is hard, but you are confident that you can solve it and get it right” (Student </w:t>
      </w:r>
      <w:r w:rsidR="00622542" w:rsidRPr="0084708A">
        <w:rPr>
          <w:lang w:val="en-GB" w:eastAsia="en-GB"/>
        </w:rPr>
        <w:t>2</w:t>
      </w:r>
      <w:r w:rsidRPr="0084708A">
        <w:rPr>
          <w:lang w:val="en-GB" w:eastAsia="en-GB"/>
        </w:rPr>
        <w:t>).</w:t>
      </w:r>
    </w:p>
    <w:p w14:paraId="0265BE68" w14:textId="77777777" w:rsidR="00447854" w:rsidRPr="0084708A" w:rsidRDefault="00447854" w:rsidP="00FE6E39">
      <w:pPr>
        <w:rPr>
          <w:lang w:val="en-GB" w:eastAsia="en-GB"/>
        </w:rPr>
      </w:pPr>
    </w:p>
    <w:p w14:paraId="29A5F7DD" w14:textId="77777777" w:rsidR="00F47E79" w:rsidRPr="0084708A" w:rsidRDefault="00447854" w:rsidP="00FE6E39">
      <w:pPr>
        <w:rPr>
          <w:lang w:eastAsia="cs-CZ"/>
        </w:rPr>
      </w:pPr>
      <w:r w:rsidRPr="0084708A">
        <w:rPr>
          <w:lang w:eastAsia="cs-CZ"/>
        </w:rPr>
        <w:t xml:space="preserve">When asked how a student can practice self-efficacy, most referred to practices like improving studying skills, time management, avoiding procrastination, not wasting time, therapy sessions, self-reflection, and other unrelated explanations. Only the same student who knew what self-efficacy was, gave a relevant answer: </w:t>
      </w:r>
    </w:p>
    <w:p w14:paraId="3D68E45D" w14:textId="31ADD3D5" w:rsidR="00447854" w:rsidRPr="0084708A" w:rsidRDefault="00447854" w:rsidP="00FE6E39">
      <w:pPr>
        <w:ind w:left="567" w:right="804" w:firstLine="0"/>
        <w:rPr>
          <w:lang w:eastAsia="cs-CZ"/>
        </w:rPr>
      </w:pPr>
      <w:r w:rsidRPr="0084708A">
        <w:rPr>
          <w:lang w:eastAsia="cs-CZ"/>
        </w:rPr>
        <w:t xml:space="preserve">“When teachers praise students when they do their best to do well. Even if the student does not get it 100% correct, but if the teacher acknowledges the effort and gives credit, the student is empowered to believe more in themselves” </w:t>
      </w:r>
      <w:r w:rsidRPr="0084708A">
        <w:rPr>
          <w:sz w:val="22"/>
          <w:szCs w:val="22"/>
          <w:lang w:eastAsia="cs-CZ"/>
        </w:rPr>
        <w:t>(</w:t>
      </w:r>
      <w:r w:rsidRPr="0084708A">
        <w:rPr>
          <w:lang w:eastAsia="cs-CZ"/>
        </w:rPr>
        <w:t>Student 1).</w:t>
      </w:r>
    </w:p>
    <w:p w14:paraId="7C0DA6D6" w14:textId="77777777" w:rsidR="00447854" w:rsidRPr="0084708A" w:rsidRDefault="00447854" w:rsidP="00FE6E39">
      <w:pPr>
        <w:ind w:firstLine="0"/>
        <w:rPr>
          <w:lang w:eastAsia="cs-CZ"/>
        </w:rPr>
      </w:pPr>
    </w:p>
    <w:p w14:paraId="66F418D0" w14:textId="326B490E" w:rsidR="00447854" w:rsidRPr="0084708A" w:rsidRDefault="00447854" w:rsidP="00FE6E39">
      <w:pPr>
        <w:rPr>
          <w:lang w:val="en-GB" w:eastAsia="en-GB"/>
        </w:rPr>
      </w:pPr>
      <w:r w:rsidRPr="0084708A">
        <w:rPr>
          <w:lang w:eastAsia="cs-CZ"/>
        </w:rPr>
        <w:t xml:space="preserve">These answers indicate that students are generally unaware of the terminology “self-efficacy”. It is crucial for educators to recognise this lack of knowledge among the students with whom they strive to increase resilience. </w:t>
      </w:r>
    </w:p>
    <w:p w14:paraId="78FE6A7A" w14:textId="77777777" w:rsidR="001E406F" w:rsidRPr="0084708A" w:rsidRDefault="001E406F" w:rsidP="00FE6E39">
      <w:pPr>
        <w:rPr>
          <w:lang w:val="en-GB" w:eastAsia="en-GB"/>
        </w:rPr>
      </w:pPr>
    </w:p>
    <w:p w14:paraId="4803F497" w14:textId="7C3DF4FD" w:rsidR="001E406F" w:rsidRPr="0084708A" w:rsidRDefault="001E406F" w:rsidP="00FE6E39">
      <w:r w:rsidRPr="0084708A">
        <w:rPr>
          <w:lang w:eastAsia="cs-CZ"/>
        </w:rPr>
        <w:t xml:space="preserve">Two students referred to self-discipline. </w:t>
      </w:r>
      <w:r w:rsidRPr="0084708A">
        <w:t xml:space="preserve">As part of the self-discipline training, the students can be guided into practicing self-monitoring skills that encouraged them to assess their own progress. This involved self-reflection and self-evaluation guided by a checklist of small steps provided on a document, to make it easier for the students to follow. They can be encouraged to give themselves the capability to adjust the targets according to their own progress to stay on track. This training can give them the independence and autonomy to self-regulate while gradually gauging their thought process to shift from negativity to </w:t>
      </w:r>
      <w:proofErr w:type="gramStart"/>
      <w:r w:rsidRPr="0084708A">
        <w:t>a positive growth</w:t>
      </w:r>
      <w:proofErr w:type="gramEnd"/>
      <w:r w:rsidRPr="0084708A">
        <w:t xml:space="preserve"> mindset (</w:t>
      </w:r>
      <w:proofErr w:type="spellStart"/>
      <w:r w:rsidR="000C2211" w:rsidRPr="0084708A">
        <w:t>Buzzetto</w:t>
      </w:r>
      <w:proofErr w:type="spellEnd"/>
      <w:r w:rsidR="000C2211" w:rsidRPr="0084708A">
        <w:t>-Hollywood et al., 2019</w:t>
      </w:r>
      <w:r w:rsidRPr="0084708A">
        <w:t xml:space="preserve">). Additionally, self-regulation skills can be aimed to help the students manage distractions, manage time effectively, and focus more on the urgent matters that they may identify. </w:t>
      </w:r>
    </w:p>
    <w:p w14:paraId="1470BC22" w14:textId="77777777" w:rsidR="004C2D12" w:rsidRPr="0084708A" w:rsidRDefault="004C2D12" w:rsidP="00FE6E39">
      <w:pPr>
        <w:rPr>
          <w:lang w:val="en-GB" w:eastAsia="en-GB"/>
        </w:rPr>
      </w:pPr>
    </w:p>
    <w:p w14:paraId="5A29CD44" w14:textId="77777777" w:rsidR="0023778D" w:rsidRPr="0084708A" w:rsidRDefault="0023778D" w:rsidP="00FE6E39">
      <w:pPr>
        <w:rPr>
          <w:lang w:val="en-GB" w:eastAsia="en-GB"/>
        </w:rPr>
      </w:pPr>
      <w:r w:rsidRPr="0084708A">
        <w:rPr>
          <w:lang w:val="en-GB" w:eastAsia="en-GB"/>
        </w:rPr>
        <w:t>Educators acknowledged the need for awareness-raising initiatives to familiarise students with self-efficacy concepts and foster resilience through guided experiences and feedback.</w:t>
      </w:r>
    </w:p>
    <w:p w14:paraId="32A5C07E" w14:textId="77777777" w:rsidR="00126B55" w:rsidRPr="0084708A" w:rsidRDefault="00126B55" w:rsidP="00FE6E39">
      <w:pPr>
        <w:rPr>
          <w:lang w:val="en-GB" w:eastAsia="en-GB"/>
        </w:rPr>
      </w:pPr>
    </w:p>
    <w:p w14:paraId="1C02B949" w14:textId="33D77320" w:rsidR="00A602BD" w:rsidRPr="00246228" w:rsidRDefault="00A602BD" w:rsidP="00890F27">
      <w:pPr>
        <w:pStyle w:val="Heading3"/>
      </w:pPr>
      <w:r w:rsidRPr="00246228">
        <w:t>Emotion-Focused Strategies for Academic Resilience</w:t>
      </w:r>
    </w:p>
    <w:p w14:paraId="4167EFF7" w14:textId="77777777" w:rsidR="00D14025" w:rsidRPr="009E285A" w:rsidRDefault="00D14025" w:rsidP="00FE6E39">
      <w:pPr>
        <w:rPr>
          <w:lang w:val="en-GB" w:eastAsia="en-GB"/>
        </w:rPr>
      </w:pPr>
    </w:p>
    <w:p w14:paraId="2F8AD9BF" w14:textId="20A0519E" w:rsidR="00A602BD" w:rsidRPr="009E285A" w:rsidRDefault="00A602BD" w:rsidP="00FE6E39">
      <w:pPr>
        <w:rPr>
          <w:lang w:val="en-GB" w:eastAsia="en-GB"/>
        </w:rPr>
      </w:pPr>
      <w:r w:rsidRPr="009E285A">
        <w:rPr>
          <w:lang w:val="en-GB" w:eastAsia="en-GB"/>
        </w:rPr>
        <w:t>Emotion-focused strategies were also considered integral to enhancing resilience, as they help students manage their emotional reactions to stressors. These strategies were regarded as vital in fostering a positive learning environment.</w:t>
      </w:r>
    </w:p>
    <w:p w14:paraId="4C99C600" w14:textId="77777777" w:rsidR="00D14025" w:rsidRPr="009E285A" w:rsidRDefault="00D14025" w:rsidP="00FE6E39">
      <w:pPr>
        <w:rPr>
          <w:lang w:val="en-GB" w:eastAsia="en-GB"/>
        </w:rPr>
      </w:pPr>
    </w:p>
    <w:p w14:paraId="7CD03F03" w14:textId="3E1C6EC2" w:rsidR="00A602BD" w:rsidRPr="00994D7E" w:rsidRDefault="00A602BD" w:rsidP="00FE6E39">
      <w:pPr>
        <w:pStyle w:val="Heading4"/>
        <w:spacing w:before="0" w:after="0"/>
        <w:rPr>
          <w:bCs/>
          <w:lang w:val="en-GB" w:eastAsia="en-GB"/>
        </w:rPr>
      </w:pPr>
      <w:r w:rsidRPr="00994D7E">
        <w:rPr>
          <w:bCs/>
          <w:lang w:val="en-GB" w:eastAsia="en-GB"/>
        </w:rPr>
        <w:t>Emotional Intelligence</w:t>
      </w:r>
    </w:p>
    <w:p w14:paraId="386D0B32" w14:textId="77777777" w:rsidR="00985BF6" w:rsidRPr="00E122F3" w:rsidRDefault="00985BF6" w:rsidP="00985BF6">
      <w:pPr>
        <w:rPr>
          <w:lang w:val="en-GB" w:eastAsia="en-GB"/>
        </w:rPr>
      </w:pPr>
    </w:p>
    <w:p w14:paraId="242932FC" w14:textId="77777777" w:rsidR="009E285A" w:rsidRPr="009E285A" w:rsidRDefault="009E285A" w:rsidP="009E285A">
      <w:pPr>
        <w:rPr>
          <w:lang w:eastAsia="en-GB"/>
        </w:rPr>
      </w:pPr>
      <w:r w:rsidRPr="009E285A">
        <w:rPr>
          <w:lang w:eastAsia="en-GB"/>
        </w:rPr>
        <w:t>The findings from this study indicate that students have a basic understanding of emotional intelligence, associating it with the ability to recognise and manage emotions effectively. Some students recalled learning about emotional intelligence during PSCD (Personal, Social, and Continuous Development) lessons in secondary school, while others provided insightful definitions, linking it to self-awareness, emotional regulation, and empathy:</w:t>
      </w:r>
    </w:p>
    <w:p w14:paraId="5B95B2DB" w14:textId="03B0A873" w:rsidR="009E285A" w:rsidRPr="00E122F3" w:rsidRDefault="009E285A" w:rsidP="009E285A">
      <w:pPr>
        <w:rPr>
          <w:lang w:eastAsia="en-GB"/>
        </w:rPr>
      </w:pPr>
      <w:r w:rsidRPr="00545446">
        <w:rPr>
          <w:color w:val="000000" w:themeColor="text1"/>
          <w:lang w:eastAsia="en-GB"/>
        </w:rPr>
        <w:t xml:space="preserve">“How good you are at understanding what triggers your emotions and being brave enough to control them and act smart even when you feel like acting wildly. It is also how good you are at reading the emotions of those around you to know what triggers them” </w:t>
      </w:r>
      <w:r w:rsidRPr="009E285A">
        <w:rPr>
          <w:lang w:eastAsia="en-GB"/>
        </w:rPr>
        <w:t>(Student 3)</w:t>
      </w:r>
      <w:r w:rsidR="00994D7E" w:rsidRPr="00E122F3">
        <w:rPr>
          <w:lang w:eastAsia="en-GB"/>
        </w:rPr>
        <w:t>.</w:t>
      </w:r>
    </w:p>
    <w:p w14:paraId="106B8771" w14:textId="77777777" w:rsidR="00994D7E" w:rsidRPr="009E285A" w:rsidRDefault="00994D7E" w:rsidP="009E285A">
      <w:pPr>
        <w:rPr>
          <w:lang w:eastAsia="en-GB"/>
        </w:rPr>
      </w:pPr>
    </w:p>
    <w:p w14:paraId="18FB5613" w14:textId="77777777" w:rsidR="009E285A" w:rsidRPr="009E285A" w:rsidRDefault="009E285A" w:rsidP="009E285A">
      <w:pPr>
        <w:rPr>
          <w:lang w:eastAsia="en-GB"/>
        </w:rPr>
      </w:pPr>
      <w:r w:rsidRPr="009E285A">
        <w:rPr>
          <w:lang w:eastAsia="en-GB"/>
        </w:rPr>
        <w:t>When asked how individuals can develop emotional intelligence, students suggested self-reflection, regulating their emotions, and learning from past experiences:</w:t>
      </w:r>
    </w:p>
    <w:p w14:paraId="7D21DA8F" w14:textId="0F4968AF" w:rsidR="009E285A" w:rsidRPr="00E122F3" w:rsidRDefault="009E285A" w:rsidP="009E285A">
      <w:pPr>
        <w:rPr>
          <w:lang w:eastAsia="en-GB"/>
        </w:rPr>
      </w:pPr>
      <w:r w:rsidRPr="00545446">
        <w:rPr>
          <w:color w:val="000000" w:themeColor="text1"/>
          <w:lang w:eastAsia="en-GB"/>
        </w:rPr>
        <w:lastRenderedPageBreak/>
        <w:t xml:space="preserve">“Reflecting on your emotions and how you acted that day and improving on your </w:t>
      </w:r>
      <w:proofErr w:type="gramStart"/>
      <w:r w:rsidRPr="00545446">
        <w:rPr>
          <w:color w:val="000000" w:themeColor="text1"/>
          <w:lang w:eastAsia="en-GB"/>
        </w:rPr>
        <w:t>actions</w:t>
      </w:r>
      <w:proofErr w:type="gramEnd"/>
      <w:r w:rsidRPr="00545446">
        <w:rPr>
          <w:color w:val="000000" w:themeColor="text1"/>
          <w:lang w:eastAsia="en-GB"/>
        </w:rPr>
        <w:t xml:space="preserve"> so you won’t make the same mistakes if you did any” </w:t>
      </w:r>
      <w:r w:rsidRPr="009E285A">
        <w:rPr>
          <w:lang w:eastAsia="en-GB"/>
        </w:rPr>
        <w:t>(Student 4)</w:t>
      </w:r>
      <w:r w:rsidR="00E122F3" w:rsidRPr="00E122F3">
        <w:rPr>
          <w:lang w:eastAsia="en-GB"/>
        </w:rPr>
        <w:t>.</w:t>
      </w:r>
    </w:p>
    <w:p w14:paraId="0AEAF877" w14:textId="77777777" w:rsidR="00E122F3" w:rsidRPr="009E285A" w:rsidRDefault="00E122F3" w:rsidP="009E285A">
      <w:pPr>
        <w:rPr>
          <w:lang w:eastAsia="en-GB"/>
        </w:rPr>
      </w:pPr>
    </w:p>
    <w:p w14:paraId="16CAA0FB" w14:textId="77777777" w:rsidR="009E285A" w:rsidRPr="00E122F3" w:rsidRDefault="009E285A" w:rsidP="009E285A">
      <w:pPr>
        <w:rPr>
          <w:lang w:eastAsia="en-GB"/>
        </w:rPr>
      </w:pPr>
      <w:r w:rsidRPr="009E285A">
        <w:rPr>
          <w:lang w:eastAsia="en-GB"/>
        </w:rPr>
        <w:t>These responses align with Goleman’s (2011) framework, which highlights self-awareness, self-regulation, empathy, and social skills as key components of emotional intelligence that contribute to resilience and effective stress management. Trigueros et al. (2020) further support this, arguing that students with higher emotional intelligence are better equipped to manage academic stress, cope with setbacks, and sustain focus on long-term goals.</w:t>
      </w:r>
    </w:p>
    <w:p w14:paraId="126E4122" w14:textId="77777777" w:rsidR="00E122F3" w:rsidRPr="009E285A" w:rsidRDefault="00E122F3" w:rsidP="009E285A">
      <w:pPr>
        <w:rPr>
          <w:lang w:eastAsia="en-GB"/>
        </w:rPr>
      </w:pPr>
    </w:p>
    <w:p w14:paraId="768E6890" w14:textId="77777777" w:rsidR="009E285A" w:rsidRPr="00E122F3" w:rsidRDefault="009E285A" w:rsidP="009E285A">
      <w:pPr>
        <w:rPr>
          <w:lang w:eastAsia="en-GB"/>
        </w:rPr>
      </w:pPr>
      <w:r w:rsidRPr="009E285A">
        <w:rPr>
          <w:lang w:eastAsia="en-GB"/>
        </w:rPr>
        <w:t>Educators also acknowledged their crucial role in fostering emotional intelligence among students. They emphasised the importance of creating a supportive classroom environment, where students feel safe to monitor their emotions and develop coping mechanisms, echoing the findings of Bledsoe and Baskin (2014). However, educators also expressed the need for targeted teacher training to help them identify signs of student anxiety and implement active learning strategies that promote emotional resilience.</w:t>
      </w:r>
    </w:p>
    <w:p w14:paraId="74EE40AE" w14:textId="77777777" w:rsidR="00E122F3" w:rsidRPr="009E285A" w:rsidRDefault="00E122F3" w:rsidP="009E285A">
      <w:pPr>
        <w:rPr>
          <w:lang w:eastAsia="en-GB"/>
        </w:rPr>
      </w:pPr>
    </w:p>
    <w:p w14:paraId="504E6308" w14:textId="77777777" w:rsidR="009E285A" w:rsidRDefault="009E285A" w:rsidP="009E285A">
      <w:pPr>
        <w:rPr>
          <w:lang w:eastAsia="en-GB"/>
        </w:rPr>
      </w:pPr>
      <w:r w:rsidRPr="009E285A">
        <w:rPr>
          <w:lang w:eastAsia="en-GB"/>
        </w:rPr>
        <w:t>This aligns with Pozo-Rico et al. (2023), who stress the importance of providing professional training for educators to better recognise and address students’ emotional struggles. By equipping teachers with the necessary skills, they can guide students in developing adaptability and self-regulation techniques, helping them navigate academic challenges more effectively.</w:t>
      </w:r>
    </w:p>
    <w:p w14:paraId="3DF9D90B" w14:textId="77777777" w:rsidR="001D6A46" w:rsidRDefault="001D6A46" w:rsidP="009E285A">
      <w:pPr>
        <w:rPr>
          <w:lang w:eastAsia="en-GB"/>
        </w:rPr>
      </w:pPr>
    </w:p>
    <w:p w14:paraId="1D1876FE" w14:textId="0EB738F3" w:rsidR="001D6A46" w:rsidRPr="001D6A46" w:rsidRDefault="001D6A46" w:rsidP="00942ECD">
      <w:pPr>
        <w:ind w:firstLine="0"/>
        <w:rPr>
          <w:b/>
          <w:bCs/>
          <w:i/>
          <w:iCs/>
          <w:lang w:eastAsia="en-GB"/>
        </w:rPr>
      </w:pPr>
      <w:r w:rsidRPr="001D6A46">
        <w:rPr>
          <w:b/>
          <w:bCs/>
          <w:i/>
          <w:iCs/>
          <w:lang w:eastAsia="en-GB"/>
        </w:rPr>
        <w:t>Cognitive Reframing</w:t>
      </w:r>
    </w:p>
    <w:p w14:paraId="63849C20" w14:textId="77777777" w:rsidR="001D6A46" w:rsidRDefault="001D6A46" w:rsidP="009E285A">
      <w:pPr>
        <w:rPr>
          <w:lang w:eastAsia="en-GB"/>
        </w:rPr>
      </w:pPr>
    </w:p>
    <w:p w14:paraId="064EBFAF" w14:textId="36AEE5B1" w:rsidR="001D6A46" w:rsidRDefault="00942ECD" w:rsidP="001D6A46">
      <w:pPr>
        <w:spacing w:after="160" w:line="259" w:lineRule="auto"/>
      </w:pPr>
      <w:r>
        <w:t>From this study’s findings, c</w:t>
      </w:r>
      <w:r w:rsidR="001D6A46" w:rsidRPr="00B3758E">
        <w:t>ognitive reframing emerged as another significant strategy in fostering academic resilience. While students were generally unfamiliar with the term, they acknowledged the importance of reframing negative thoughts into constructive ones as a method of stress management. This process is closely linked to metacognition, which enables students to assess and modify their thought patterns, allowing them to adjust their emotional responses to academic stressors (Wang &amp; Yin, 2023).</w:t>
      </w:r>
    </w:p>
    <w:p w14:paraId="0B94F7A1" w14:textId="77777777" w:rsidR="001D6A46" w:rsidRPr="00B3758E" w:rsidRDefault="001D6A46" w:rsidP="001D6A46">
      <w:pPr>
        <w:spacing w:after="160" w:line="259" w:lineRule="auto"/>
      </w:pPr>
    </w:p>
    <w:p w14:paraId="161C6170" w14:textId="77777777" w:rsidR="001D6A46" w:rsidRPr="00B3758E" w:rsidRDefault="001D6A46" w:rsidP="001D6A46">
      <w:pPr>
        <w:spacing w:after="160" w:line="259" w:lineRule="auto"/>
      </w:pPr>
      <w:r w:rsidRPr="00B3758E">
        <w:t>The role of cognitive reframing aligns with Lazarus and Folkman’s Transactional Theory of Stress and Coping (1984; Lazarus, 1998), which suggests that stress arises when individuals perceive a situation as exceeding their resources. Within this framework, cognitive reframing serves as a coping mechanism, allowing individuals to reinterpret challenges in a way that reduces stress and promotes emotional resilience (Wang &amp; Yin, 2023). One student described how self-reflection and mindfulness helped them gain control over their emotions and reframe their thoughts:</w:t>
      </w:r>
    </w:p>
    <w:p w14:paraId="59D2B664" w14:textId="79B07CF4" w:rsidR="001D6A46" w:rsidRDefault="001D6A46" w:rsidP="001D6A46">
      <w:pPr>
        <w:spacing w:after="160" w:line="259" w:lineRule="auto"/>
      </w:pPr>
      <w:r w:rsidRPr="00545446">
        <w:rPr>
          <w:rFonts w:eastAsiaTheme="majorEastAsia"/>
          <w:color w:val="000000" w:themeColor="text1"/>
        </w:rPr>
        <w:t>“By meditation. I remember that in PSCD we used to learn how to increase our emotional intelligence. When we are about to burst, we isolate ourselves, that is, we try to walk away from people, like going to our room, close our eyes, take deep breaths in and out and reflect on our emotions, and then ask ourselves what emotions am I feeling? Why am I feeling these emotions? How can I calm myself down? If I burst, am I going to make things better or worse? How should I behave to be brave? And things like that”</w:t>
      </w:r>
      <w:r w:rsidRPr="00545446">
        <w:rPr>
          <w:color w:val="000000" w:themeColor="text1"/>
        </w:rPr>
        <w:t xml:space="preserve"> </w:t>
      </w:r>
      <w:r w:rsidRPr="00B3758E">
        <w:t>(Student 10)</w:t>
      </w:r>
      <w:r>
        <w:t>.</w:t>
      </w:r>
    </w:p>
    <w:p w14:paraId="3180E9AB" w14:textId="77777777" w:rsidR="001D6A46" w:rsidRPr="00B3758E" w:rsidRDefault="001D6A46" w:rsidP="001D6A46">
      <w:pPr>
        <w:spacing w:after="160" w:line="259" w:lineRule="auto"/>
      </w:pPr>
    </w:p>
    <w:p w14:paraId="03ABF6B8" w14:textId="77777777" w:rsidR="001D6A46" w:rsidRDefault="001D6A46" w:rsidP="001D6A46">
      <w:pPr>
        <w:spacing w:after="160" w:line="259" w:lineRule="auto"/>
      </w:pPr>
      <w:r w:rsidRPr="00B3758E">
        <w:t xml:space="preserve">These insights support Santos et al. (2023), who conducted a scoping review on cognitive restructuring, concluding that it effectively reduces cognitive distortions, enhances </w:t>
      </w:r>
      <w:r w:rsidRPr="00B3758E">
        <w:lastRenderedPageBreak/>
        <w:t>emotional resilience, and improves academic coping mechanisms. This also aligns with Wang &amp; Yin (2023), who highlight that cognitive reframing enables students to modify their perceptions of stress, shifting from anxiety-driven responses to solution-focused strategies.</w:t>
      </w:r>
    </w:p>
    <w:p w14:paraId="453F047B" w14:textId="77777777" w:rsidR="001D6A46" w:rsidRPr="00B3758E" w:rsidRDefault="001D6A46" w:rsidP="001D6A46">
      <w:pPr>
        <w:spacing w:after="160" w:line="259" w:lineRule="auto"/>
      </w:pPr>
    </w:p>
    <w:p w14:paraId="7724A2E5" w14:textId="5D151611" w:rsidR="001D6A46" w:rsidRPr="00B3758E" w:rsidRDefault="001D6A46" w:rsidP="001D6A46">
      <w:pPr>
        <w:spacing w:after="160" w:line="259" w:lineRule="auto"/>
      </w:pPr>
      <w:r w:rsidRPr="00B3758E">
        <w:t>Teachers who participated in this study agreed that guiding students in identifying, challenging, and reframing their negative thought patterns is essential for fostering resilience. This perspective is supported by Yeager &amp; Dweck (2012), who argue that structured interventions in the classroom can equip students with cognitive reframing techniques that improve their ability to navigate academic challenges with greater confidence and emotional stability. Educators emphasi</w:t>
      </w:r>
      <w:r w:rsidR="00C52358">
        <w:t>s</w:t>
      </w:r>
      <w:r w:rsidRPr="00B3758E">
        <w:t>ed that by helping students reframe setbacks as learning opportunities rather than failures, they can cultivate a mindset that encourages persistence and proactive problem-solving.</w:t>
      </w:r>
      <w:r w:rsidR="00C52358">
        <w:t xml:space="preserve"> </w:t>
      </w:r>
      <w:r w:rsidR="00694E6A" w:rsidRPr="00CB22E0">
        <w:t>However, teachers emphasised the importance of specialised training to equip them with the necessary strategies to effectively integrate cognitive reframing into their teaching practices, ensuring that students develop this skill as part of their academic resilience.</w:t>
      </w:r>
    </w:p>
    <w:p w14:paraId="538A11EB" w14:textId="77777777" w:rsidR="001D6A46" w:rsidRPr="00EC4585" w:rsidRDefault="001D6A46" w:rsidP="001D6A46"/>
    <w:p w14:paraId="17A95972" w14:textId="77777777" w:rsidR="00A602BD" w:rsidRPr="0084708A" w:rsidRDefault="00A602BD" w:rsidP="00FE6E39">
      <w:pPr>
        <w:pStyle w:val="Heading4"/>
        <w:spacing w:before="0" w:after="0"/>
        <w:rPr>
          <w:lang w:val="en-GB" w:eastAsia="en-GB"/>
        </w:rPr>
      </w:pPr>
      <w:r w:rsidRPr="0084708A">
        <w:rPr>
          <w:lang w:val="en-GB" w:eastAsia="en-GB"/>
        </w:rPr>
        <w:t>Growth Mindset</w:t>
      </w:r>
    </w:p>
    <w:p w14:paraId="3675ECBB" w14:textId="77777777" w:rsidR="00A1207B" w:rsidRPr="0084708A" w:rsidRDefault="00A1207B" w:rsidP="00FE6E39">
      <w:pPr>
        <w:rPr>
          <w:lang w:val="en-GB" w:eastAsia="en-GB"/>
        </w:rPr>
      </w:pPr>
    </w:p>
    <w:p w14:paraId="2546BE91" w14:textId="77777777" w:rsidR="00294A3F" w:rsidRPr="00CC498F" w:rsidRDefault="00294A3F" w:rsidP="00294A3F">
      <w:pPr>
        <w:spacing w:after="160" w:line="259" w:lineRule="auto"/>
      </w:pPr>
      <w:r w:rsidRPr="00CC498F">
        <w:t>When participants were asked whether they agreed that “resilient students tend to perceive obstacles as opportunities for learning rather than barriers,” all responded affirmatively. When further questioned on how educators can cultivate a growth mindset, one educator stated:</w:t>
      </w:r>
    </w:p>
    <w:p w14:paraId="260993C6" w14:textId="77777777" w:rsidR="00294A3F" w:rsidRDefault="00294A3F" w:rsidP="00294A3F">
      <w:pPr>
        <w:spacing w:after="160" w:line="259" w:lineRule="auto"/>
      </w:pPr>
      <w:r w:rsidRPr="00545446">
        <w:rPr>
          <w:rFonts w:eastAsiaTheme="majorEastAsia"/>
          <w:color w:val="000000" w:themeColor="text1"/>
        </w:rPr>
        <w:t>“Educators can foster a growth mindset by emphasising effort over results, providing constructive feedback, modelling resilience, promoting challenges, celebrating progress, encouraging self-reflection, and creating a supportive learning environment”</w:t>
      </w:r>
      <w:r w:rsidRPr="00545446">
        <w:rPr>
          <w:color w:val="000000" w:themeColor="text1"/>
        </w:rPr>
        <w:t xml:space="preserve"> </w:t>
      </w:r>
      <w:r w:rsidRPr="00CC498F">
        <w:t>(Educator 1)</w:t>
      </w:r>
      <w:r>
        <w:t>.</w:t>
      </w:r>
    </w:p>
    <w:p w14:paraId="411060A8" w14:textId="77777777" w:rsidR="00AE2B53" w:rsidRPr="00CC498F" w:rsidRDefault="00AE2B53" w:rsidP="00294A3F">
      <w:pPr>
        <w:spacing w:after="160" w:line="259" w:lineRule="auto"/>
      </w:pPr>
    </w:p>
    <w:p w14:paraId="5876D743" w14:textId="77777777" w:rsidR="00294A3F" w:rsidRDefault="00294A3F" w:rsidP="00294A3F">
      <w:pPr>
        <w:spacing w:after="160" w:line="259" w:lineRule="auto"/>
      </w:pPr>
      <w:r w:rsidRPr="00CC498F">
        <w:t>This response aligns with Yeager and Dweck’s (2012) concept of growth mindset, which asserts that abilities and intelligence can be developed through sustained effort and persistence. Educators play a crucial role in reinforcing this belief through structured interventions, including targeted feedback, resilience training, and reflective exercises, which have been shown to enhance students' motivation and academic perseverance (Yeager &amp; Dweck, 2012).</w:t>
      </w:r>
    </w:p>
    <w:p w14:paraId="3E587812" w14:textId="77777777" w:rsidR="00294A3F" w:rsidRPr="00CC498F" w:rsidRDefault="00294A3F" w:rsidP="00294A3F">
      <w:pPr>
        <w:spacing w:after="160" w:line="259" w:lineRule="auto"/>
      </w:pPr>
    </w:p>
    <w:p w14:paraId="622D185A" w14:textId="77777777" w:rsidR="00294A3F" w:rsidRDefault="00294A3F" w:rsidP="00294A3F">
      <w:pPr>
        <w:spacing w:after="160" w:line="259" w:lineRule="auto"/>
      </w:pPr>
      <w:r w:rsidRPr="00CC498F">
        <w:t>From a neuroscientific perspective, growth mindset is supported by the principles of neuroplasticity, the brain's ability to rewire itself in response to learning experiences. Through repeated engagement with challenging tasks, neural pathways strengthen, enhancing cognitive flexibility and resilience (Maynard et al., 2015). This aligns with research suggesting that students who actively practice growth mindset strategies exhibit greater adaptability, as their brain structures evolve in response to continuous learning experiences (Dweck et al., 2014).</w:t>
      </w:r>
    </w:p>
    <w:p w14:paraId="2ADD14FA" w14:textId="77777777" w:rsidR="00294A3F" w:rsidRPr="00CC498F" w:rsidRDefault="00294A3F" w:rsidP="00294A3F">
      <w:pPr>
        <w:spacing w:after="160" w:line="259" w:lineRule="auto"/>
      </w:pPr>
    </w:p>
    <w:p w14:paraId="770C2DED" w14:textId="77777777" w:rsidR="00294A3F" w:rsidRDefault="00294A3F" w:rsidP="00294A3F">
      <w:pPr>
        <w:spacing w:after="160" w:line="259" w:lineRule="auto"/>
      </w:pPr>
      <w:r w:rsidRPr="00CC498F">
        <w:t xml:space="preserve">Metacognition further complements this process by enabling students to monitor their progress, reflect on setbacks, and adjust their strategies accordingly. By fostering metacognitive awareness, educators can empower students to reframe failures as opportunities for growth rather than insurmountable obstacles (Dweck et al., 2014). During focus groups, participants proposed embedding growth mindset principles into daily lessons </w:t>
      </w:r>
      <w:r w:rsidRPr="00CC498F">
        <w:lastRenderedPageBreak/>
        <w:t>to help students, particularly those who struggle academically, develop resilience and maintain a positive outlook on challenges.</w:t>
      </w:r>
    </w:p>
    <w:p w14:paraId="4E4ED94D" w14:textId="77777777" w:rsidR="00294A3F" w:rsidRPr="00CC498F" w:rsidRDefault="00294A3F" w:rsidP="00294A3F">
      <w:pPr>
        <w:spacing w:after="160" w:line="259" w:lineRule="auto"/>
      </w:pPr>
    </w:p>
    <w:p w14:paraId="294AD941" w14:textId="77777777" w:rsidR="00294A3F" w:rsidRDefault="00294A3F" w:rsidP="00294A3F">
      <w:pPr>
        <w:spacing w:after="160" w:line="259" w:lineRule="auto"/>
      </w:pPr>
      <w:r w:rsidRPr="00CC498F">
        <w:t xml:space="preserve">This aligns with Ng et al. (2020) and Ku &amp; Stager (2022), who found that structured growth mindset interventions significantly improve academic performance and resilience, particularly among students facing academic difficulties. By encouraging reflective practices and strategic </w:t>
      </w:r>
      <w:proofErr w:type="gramStart"/>
      <w:r w:rsidRPr="00CC498F">
        <w:t>goal-setting</w:t>
      </w:r>
      <w:proofErr w:type="gramEnd"/>
      <w:r w:rsidRPr="00CC498F">
        <w:t>, educators can help students alter their cognitive perception of failure, reducing anxiety and fostering a proactive approach to academic demands (Martin &amp; Marsh, 2003).</w:t>
      </w:r>
    </w:p>
    <w:p w14:paraId="23625D08" w14:textId="77777777" w:rsidR="00294A3F" w:rsidRPr="00CC498F" w:rsidRDefault="00294A3F" w:rsidP="00294A3F">
      <w:pPr>
        <w:spacing w:after="160" w:line="259" w:lineRule="auto"/>
      </w:pPr>
    </w:p>
    <w:p w14:paraId="377D6BB4" w14:textId="77777777" w:rsidR="00294A3F" w:rsidRPr="00CC498F" w:rsidRDefault="00294A3F" w:rsidP="00294A3F">
      <w:pPr>
        <w:spacing w:after="160" w:line="259" w:lineRule="auto"/>
      </w:pPr>
      <w:r w:rsidRPr="00CC498F">
        <w:t xml:space="preserve">Additionally, </w:t>
      </w:r>
      <w:r>
        <w:t xml:space="preserve">findings from focus groups align well with </w:t>
      </w:r>
      <w:r w:rsidRPr="00CC498F">
        <w:t xml:space="preserve">Kim &amp; Hodges </w:t>
      </w:r>
      <w:r>
        <w:t>(</w:t>
      </w:r>
      <w:r w:rsidRPr="00CC498F">
        <w:t>2023</w:t>
      </w:r>
      <w:r>
        <w:t>) and</w:t>
      </w:r>
      <w:r w:rsidRPr="00CC498F">
        <w:t xml:space="preserve"> Radhamani &amp; Kalaivani</w:t>
      </w:r>
      <w:r>
        <w:t xml:space="preserve"> (</w:t>
      </w:r>
      <w:r w:rsidRPr="00CC498F">
        <w:t>2021</w:t>
      </w:r>
      <w:r>
        <w:t xml:space="preserve">) who argue that </w:t>
      </w:r>
      <w:r w:rsidRPr="00CC498F">
        <w:t xml:space="preserve">fostering a growth mindset not only enhances resilience but also strengthens intrinsic motivation, as students learn to value effort and persistence over external rewards. </w:t>
      </w:r>
      <w:r>
        <w:t xml:space="preserve">It was concluded that </w:t>
      </w:r>
      <w:proofErr w:type="gramStart"/>
      <w:r>
        <w:t>similar to</w:t>
      </w:r>
      <w:proofErr w:type="gramEnd"/>
      <w:r>
        <w:t xml:space="preserve"> what Yeager and Dweck (2012) explain, g</w:t>
      </w:r>
      <w:r w:rsidRPr="00CC498F">
        <w:t>iven the strong connection between growth mindset, resilience, and motivation, integrating reflective practices and structured metacognitive training into educational settings can provide students with the cognitive and emotional tools needed to navigate academic challenges successfully.</w:t>
      </w:r>
    </w:p>
    <w:p w14:paraId="093AF827" w14:textId="77777777" w:rsidR="007A35B9" w:rsidRDefault="007A35B9" w:rsidP="00FE6E39">
      <w:pPr>
        <w:tabs>
          <w:tab w:val="left" w:pos="567"/>
        </w:tabs>
      </w:pPr>
    </w:p>
    <w:p w14:paraId="1FFEA2CC" w14:textId="77777777" w:rsidR="00FE4247" w:rsidRDefault="00FE4247" w:rsidP="00FE4247">
      <w:pPr>
        <w:ind w:firstLine="0"/>
        <w:rPr>
          <w:b/>
          <w:bCs/>
          <w:i/>
          <w:iCs/>
        </w:rPr>
      </w:pPr>
      <w:r w:rsidRPr="002B7C8D">
        <w:rPr>
          <w:b/>
          <w:bCs/>
          <w:i/>
          <w:iCs/>
        </w:rPr>
        <w:t>Mindfulness</w:t>
      </w:r>
    </w:p>
    <w:p w14:paraId="2E991C8A" w14:textId="77777777" w:rsidR="00FE4247" w:rsidRPr="002B7C8D" w:rsidRDefault="00FE4247" w:rsidP="00FE4247">
      <w:pPr>
        <w:ind w:firstLine="0"/>
        <w:rPr>
          <w:b/>
          <w:bCs/>
          <w:i/>
          <w:iCs/>
        </w:rPr>
      </w:pPr>
    </w:p>
    <w:p w14:paraId="06B82C1A" w14:textId="77777777" w:rsidR="00FE4247" w:rsidRDefault="00FE4247" w:rsidP="00FE4247">
      <w:r w:rsidRPr="00D4273F">
        <w:t>The findings further highlight the important role of mindfulness practices in emotional regulation and stress management among students. Participants identified deep breathing, meditation, and self-reflection as effective strategies for reducing stress and maintaining emotional balance. However, teachers acknowledged that the rigid structure of the syllabus leaves little room for integrating mindfulness practices during lessons. As focus group discussions progressed, both teachers and students collaboratively explored practical ways to seamlessly incorporate these skills across different subjects, ensuring that students could develop resilience and reframe challenges such as workloads and deadlines in a more constructive manner.</w:t>
      </w:r>
    </w:p>
    <w:p w14:paraId="198BB72B" w14:textId="77777777" w:rsidR="00FE4247" w:rsidRPr="0084708A" w:rsidRDefault="00FE4247" w:rsidP="00FE6E39">
      <w:pPr>
        <w:tabs>
          <w:tab w:val="left" w:pos="567"/>
        </w:tabs>
      </w:pPr>
    </w:p>
    <w:p w14:paraId="01C541B6" w14:textId="37170E59" w:rsidR="00A0161A" w:rsidRPr="0084708A" w:rsidRDefault="00A0161A" w:rsidP="002D008C">
      <w:pPr>
        <w:pStyle w:val="Heading2"/>
      </w:pPr>
      <w:r w:rsidRPr="0084708A">
        <w:t>Conclusion</w:t>
      </w:r>
    </w:p>
    <w:p w14:paraId="07769F97" w14:textId="77777777" w:rsidR="00A0161A" w:rsidRPr="0084708A" w:rsidRDefault="00A0161A" w:rsidP="00413758">
      <w:pPr>
        <w:rPr>
          <w:lang w:eastAsia="cs-CZ"/>
        </w:rPr>
      </w:pPr>
    </w:p>
    <w:p w14:paraId="201F0AC4" w14:textId="77777777" w:rsidR="00413758" w:rsidRPr="0084708A" w:rsidRDefault="00413758" w:rsidP="00413758">
      <w:pPr>
        <w:rPr>
          <w:lang w:val="en-GB" w:eastAsia="en-GB"/>
          <w14:ligatures w14:val="none"/>
        </w:rPr>
      </w:pPr>
      <w:r w:rsidRPr="0084708A">
        <w:rPr>
          <w:lang w:val="en-GB" w:eastAsia="en-GB"/>
          <w14:ligatures w14:val="none"/>
        </w:rPr>
        <w:t>The findings and discussions of this study are presented in alignment with the research questions, focusing on the essential skills that students should develop to effectively manage academic pressures and the actionable recommendations for educators and school leaders to foster a supportive educational environment. The study revealed that both educators and students identified a core set of skills essential for fostering resilience, with time management emerging as the most frequently mentioned, followed by problem-solving skills, emotional intelligence, growth mindset, adaptability, and self-efficacy. These skills were classified using Lazarus and Folkman’s (1984) Transactional Theory of Stress and Coping, categorising time management, problem-solving, adaptability, and self-efficacy as problem-focused strategies, while emotional intelligence and growth mindset were classified as emotion-focused strategies.</w:t>
      </w:r>
    </w:p>
    <w:p w14:paraId="5D0EF265" w14:textId="77777777" w:rsidR="00E718DC" w:rsidRPr="0084708A" w:rsidRDefault="00E718DC" w:rsidP="00413758">
      <w:pPr>
        <w:rPr>
          <w:lang w:val="en-GB" w:eastAsia="en-GB"/>
          <w14:ligatures w14:val="none"/>
        </w:rPr>
      </w:pPr>
    </w:p>
    <w:p w14:paraId="61ECB4AD" w14:textId="77777777" w:rsidR="00413758" w:rsidRPr="0084708A" w:rsidRDefault="00413758" w:rsidP="00413758">
      <w:pPr>
        <w:rPr>
          <w:lang w:val="en-GB" w:eastAsia="en-GB"/>
          <w14:ligatures w14:val="none"/>
        </w:rPr>
      </w:pPr>
      <w:r w:rsidRPr="0084708A">
        <w:rPr>
          <w:lang w:val="en-GB" w:eastAsia="en-GB"/>
          <w14:ligatures w14:val="none"/>
        </w:rPr>
        <w:t xml:space="preserve">Participants acknowledged the importance of these skills and proposed strategies for their integration into the school curriculum. Time management was highlighted as a critical skill for balancing workloads and deadlines, with recommendations including structured planning and prioritisation techniques. Problem-solving and adaptability were considered </w:t>
      </w:r>
      <w:r w:rsidRPr="0084708A">
        <w:rPr>
          <w:lang w:val="en-GB" w:eastAsia="en-GB"/>
          <w14:ligatures w14:val="none"/>
        </w:rPr>
        <w:lastRenderedPageBreak/>
        <w:t>vital for navigating academic challenges, with suggestions for incorporating experiential learning and one-on-one mentoring. Emotional intelligence was linked to improved wellbeing and resilience, with mindfulness and self-reflection cited as effective methods for fostering emotional regulation. Growth mindset, supported by the principles of neuroplasticity, was recognised as essential for helping students reframe challenges and build persistence through reflective learning and constructive feedback.</w:t>
      </w:r>
    </w:p>
    <w:p w14:paraId="439DFB21" w14:textId="77777777" w:rsidR="00E718DC" w:rsidRPr="0084708A" w:rsidRDefault="00E718DC" w:rsidP="00413758">
      <w:pPr>
        <w:rPr>
          <w:lang w:val="en-GB" w:eastAsia="en-GB"/>
          <w14:ligatures w14:val="none"/>
        </w:rPr>
      </w:pPr>
    </w:p>
    <w:p w14:paraId="50DC48E2" w14:textId="77777777" w:rsidR="00413758" w:rsidRPr="0084708A" w:rsidRDefault="00413758" w:rsidP="00413758">
      <w:pPr>
        <w:rPr>
          <w:lang w:val="en-GB" w:eastAsia="en-GB"/>
          <w14:ligatures w14:val="none"/>
        </w:rPr>
      </w:pPr>
      <w:r w:rsidRPr="0084708A">
        <w:rPr>
          <w:lang w:val="en-GB" w:eastAsia="en-GB"/>
          <w14:ligatures w14:val="none"/>
        </w:rPr>
        <w:t>Educators emphasised the need for targeted professional development to equip them with the skills to integrate these resilience-building strategies effectively. The study recommends embedding these skills into the curriculum through structured interventions, metacognitive strategies, and the creation of a supportive learning environment that empowers students to manage academic demands with confidence and emotional stability.</w:t>
      </w:r>
    </w:p>
    <w:p w14:paraId="6EE0158F" w14:textId="77777777" w:rsidR="00C80594" w:rsidRPr="0084708A" w:rsidRDefault="00C80594" w:rsidP="00413758"/>
    <w:p w14:paraId="3018B8F2" w14:textId="5F95F4A9" w:rsidR="00570912" w:rsidRPr="0084708A" w:rsidRDefault="00570912" w:rsidP="00FE6E39">
      <w:r w:rsidRPr="0084708A">
        <w:t xml:space="preserve">To support post-secondary students facing the pressures of academic workloads and deadlines, educators and students concluded with the following suggestions that incorporate </w:t>
      </w:r>
      <w:r w:rsidR="00C533FE" w:rsidRPr="0084708A">
        <w:t>all the identified skills</w:t>
      </w:r>
      <w:r w:rsidRPr="0084708A">
        <w:t xml:space="preserve">: </w:t>
      </w:r>
    </w:p>
    <w:p w14:paraId="3F7BEC63" w14:textId="77777777" w:rsidR="00570912" w:rsidRPr="0084708A" w:rsidRDefault="00570912" w:rsidP="00FE6E39"/>
    <w:p w14:paraId="10286EF4" w14:textId="77777777" w:rsidR="00570912" w:rsidRPr="0084708A" w:rsidRDefault="00570912" w:rsidP="00FE6E39">
      <w:r w:rsidRPr="0084708A">
        <w:t xml:space="preserve">1. Reflective Practices: Encouraging students to engage in reflection through journals or discussion prompts allows them to consider their thought processes, identify areas of difficulty, and develop personalised strategies to overcome obstacles (Keable, 2022). </w:t>
      </w:r>
    </w:p>
    <w:p w14:paraId="7A354A13" w14:textId="77777777" w:rsidR="00570912" w:rsidRPr="0084708A" w:rsidRDefault="00570912" w:rsidP="00FE6E39"/>
    <w:p w14:paraId="6967A706" w14:textId="77777777" w:rsidR="00570912" w:rsidRPr="0084708A" w:rsidRDefault="00570912" w:rsidP="00FE6E39">
      <w:r w:rsidRPr="0084708A">
        <w:t xml:space="preserve">2. Goal Setting and Self-Monitoring: Teaching students to set achievable goals, monitor progress, and adjust their strategies can foster a sense of accomplishment and reduce stress. This practice aligns with neuroplasticity, as repeated engagement in </w:t>
      </w:r>
      <w:proofErr w:type="gramStart"/>
      <w:r w:rsidRPr="0084708A">
        <w:t>goal-setting</w:t>
      </w:r>
      <w:proofErr w:type="gramEnd"/>
      <w:r w:rsidRPr="0084708A">
        <w:t xml:space="preserve"> strengthens neural pathways involved in planning and self-regulation (Yazar &amp; Tolan, 2020). </w:t>
      </w:r>
    </w:p>
    <w:p w14:paraId="487F6F37" w14:textId="77777777" w:rsidR="00570912" w:rsidRPr="0084708A" w:rsidRDefault="00570912" w:rsidP="00FE6E39"/>
    <w:p w14:paraId="5BDA693F" w14:textId="77777777" w:rsidR="00570912" w:rsidRPr="0084708A" w:rsidRDefault="00570912" w:rsidP="00FE6E39">
      <w:r w:rsidRPr="0084708A">
        <w:t xml:space="preserve">3. Mindfulness Training: Mindfulness has been shown to enhance metacognitive awareness by increasing attention and emotional regulation, which are crucial for effective learning and mental health (Beer &amp; Moneta, 2010). Introducing brief mindfulness exercises before classes can improve focus and reduce anxiety, preparing students to engage more fully with academic content. </w:t>
      </w:r>
    </w:p>
    <w:p w14:paraId="65046EAD" w14:textId="77777777" w:rsidR="00570912" w:rsidRPr="0084708A" w:rsidRDefault="00570912" w:rsidP="00FE6E39"/>
    <w:p w14:paraId="7616C60D" w14:textId="77777777" w:rsidR="00570912" w:rsidRPr="0084708A" w:rsidRDefault="00570912" w:rsidP="00FE6E39">
      <w:r w:rsidRPr="0084708A">
        <w:t xml:space="preserve">4. Collaborative Learning: Engaging students in group activities promotes the social dimension of metacognition, where they can observe and discuss diverse thinking strategies. This not only enhances problem-solving skills but also reinforces the neural networks involved in empathy, collaboration, and adaptability (Brewer et al., 2021). </w:t>
      </w:r>
    </w:p>
    <w:p w14:paraId="62B8CD71" w14:textId="77777777" w:rsidR="00570912" w:rsidRPr="0084708A" w:rsidRDefault="00570912" w:rsidP="00FE6E39"/>
    <w:p w14:paraId="66AE5778" w14:textId="77777777" w:rsidR="00570912" w:rsidRPr="0084708A" w:rsidRDefault="00570912" w:rsidP="00FE6E39">
      <w:r w:rsidRPr="0084708A">
        <w:t>5. Self-Regulated Learning Interventions: Programmes that explicitly teach self-regulation techniques can empower students to manage time effectively, plan their studies, and address setbacks constructively. As these practices become habits, they reinforce resilience and promote lifelong learning (Brewer et al., 2021).</w:t>
      </w:r>
    </w:p>
    <w:p w14:paraId="38605F43" w14:textId="77777777" w:rsidR="00C80594" w:rsidRPr="0084708A" w:rsidRDefault="00C80594" w:rsidP="00FE6E39"/>
    <w:p w14:paraId="6CD5075F" w14:textId="21D157FC" w:rsidR="00A0161A" w:rsidRPr="0084708A" w:rsidRDefault="00A0161A" w:rsidP="00FE6E39">
      <w:pPr>
        <w:rPr>
          <w:lang w:val="mt-MT"/>
        </w:rPr>
      </w:pPr>
      <w:r w:rsidRPr="0084708A">
        <w:t>It was emphasi</w:t>
      </w:r>
      <w:r w:rsidR="00FD3FD9">
        <w:t>s</w:t>
      </w:r>
      <w:r w:rsidRPr="0084708A">
        <w:t>ed that highly trained educators are instrumental in this regard. Education is one of the pillars that provides the right jobs for the economic needs of the nation (MEYR, 2023). Education shapes the overall development of citizens and impacts the trajectory of their lives in various ways (</w:t>
      </w:r>
      <w:r w:rsidR="00F243D7" w:rsidRPr="0084708A">
        <w:t>MEYR, 2023</w:t>
      </w:r>
      <w:r w:rsidRPr="0084708A">
        <w:t>), hence continuous professional development for educators is of utmost importance.</w:t>
      </w:r>
    </w:p>
    <w:p w14:paraId="4388BC17" w14:textId="77777777" w:rsidR="00A0161A" w:rsidRPr="0084708A" w:rsidRDefault="00A0161A" w:rsidP="00FE6E39">
      <w:pPr>
        <w:rPr>
          <w:lang w:val="mt-MT"/>
        </w:rPr>
      </w:pPr>
    </w:p>
    <w:p w14:paraId="6FA4A155" w14:textId="4BD12421" w:rsidR="00A0161A" w:rsidRPr="0084708A" w:rsidRDefault="00A0161A" w:rsidP="00FE6E39">
      <w:pPr>
        <w:rPr>
          <w:lang w:val="mt-MT"/>
        </w:rPr>
      </w:pPr>
      <w:r w:rsidRPr="0084708A">
        <w:rPr>
          <w:lang w:val="mt-MT"/>
        </w:rPr>
        <w:t>For these reasons, the nation prioritises quality education through multiple mechanisms as highli</w:t>
      </w:r>
      <w:r w:rsidR="004207FB">
        <w:rPr>
          <w:lang w:val="mt-MT"/>
        </w:rPr>
        <w:t>gh</w:t>
      </w:r>
      <w:r w:rsidRPr="0084708A">
        <w:rPr>
          <w:lang w:val="mt-MT"/>
        </w:rPr>
        <w:t xml:space="preserve">ted in the document titled </w:t>
      </w:r>
      <w:r w:rsidRPr="0084708A">
        <w:rPr>
          <w:i/>
          <w:iCs/>
          <w:lang w:val="mt-MT"/>
        </w:rPr>
        <w:t xml:space="preserve">Visioning the Future by Transforming </w:t>
      </w:r>
      <w:r w:rsidRPr="0084708A">
        <w:rPr>
          <w:i/>
          <w:iCs/>
          <w:lang w:val="mt-MT"/>
        </w:rPr>
        <w:lastRenderedPageBreak/>
        <w:t>Education</w:t>
      </w:r>
      <w:r w:rsidRPr="0084708A">
        <w:rPr>
          <w:lang w:val="mt-MT"/>
        </w:rPr>
        <w:t xml:space="preserve">, in which Hon. Dr Clifton Grima, the </w:t>
      </w:r>
      <w:r w:rsidR="00CF6217">
        <w:rPr>
          <w:lang w:val="mt-MT"/>
        </w:rPr>
        <w:t xml:space="preserve">Maltese </w:t>
      </w:r>
      <w:r w:rsidRPr="0084708A">
        <w:rPr>
          <w:lang w:val="mt-MT"/>
        </w:rPr>
        <w:t xml:space="preserve">Minister for Education, Sport, Youth, Research, and Innovation,  stresses that education drives the progress of society by shaping minds to equip people to deal with challenges and opportunities (MEYR, 2023).  This study showed how post-secondary </w:t>
      </w:r>
      <w:r w:rsidR="00C9495B" w:rsidRPr="0084708A">
        <w:rPr>
          <w:lang w:val="mt-MT"/>
        </w:rPr>
        <w:t xml:space="preserve">educators and </w:t>
      </w:r>
      <w:r w:rsidRPr="0084708A">
        <w:rPr>
          <w:lang w:val="mt-MT"/>
        </w:rPr>
        <w:t>students align with Dr Grima’s views of the dynamic nature of the world and the evolving needs of citizens, by acknowledging that need for growth mindset. Dr Grima further encourages forward-thinking education that empowers students, educators and schools to flourish in the 21st century (</w:t>
      </w:r>
      <w:r w:rsidR="00D30B37" w:rsidRPr="0084708A">
        <w:rPr>
          <w:lang w:val="mt-MT"/>
        </w:rPr>
        <w:t>MEYR</w:t>
      </w:r>
      <w:r w:rsidRPr="0084708A">
        <w:rPr>
          <w:lang w:val="mt-MT"/>
        </w:rPr>
        <w:t xml:space="preserve">, 2023). </w:t>
      </w:r>
    </w:p>
    <w:p w14:paraId="19CE3810" w14:textId="77777777" w:rsidR="00A0161A" w:rsidRPr="0084708A" w:rsidRDefault="00A0161A" w:rsidP="00FE6E39">
      <w:pPr>
        <w:rPr>
          <w:lang w:val="mt-MT"/>
        </w:rPr>
      </w:pPr>
    </w:p>
    <w:p w14:paraId="17496CCC" w14:textId="08A418EF" w:rsidR="00A0161A" w:rsidRPr="000A07CE" w:rsidRDefault="00A0161A" w:rsidP="00FE6E39">
      <w:pPr>
        <w:rPr>
          <w:color w:val="000000" w:themeColor="text1"/>
          <w:lang w:val="mt-MT"/>
        </w:rPr>
      </w:pPr>
      <w:r w:rsidRPr="000A07CE">
        <w:rPr>
          <w:color w:val="000000" w:themeColor="text1"/>
        </w:rPr>
        <w:t xml:space="preserve">In the mentioned document, the </w:t>
      </w:r>
      <w:r w:rsidRPr="000A07CE">
        <w:rPr>
          <w:color w:val="000000" w:themeColor="text1"/>
          <w:lang w:val="mt-MT"/>
        </w:rPr>
        <w:t xml:space="preserve">second pillar, </w:t>
      </w:r>
      <w:r w:rsidRPr="000A07CE">
        <w:rPr>
          <w:i/>
          <w:iCs/>
          <w:color w:val="000000" w:themeColor="text1"/>
          <w:lang w:val="mt-MT"/>
        </w:rPr>
        <w:t>Educational Achievement</w:t>
      </w:r>
      <w:r w:rsidRPr="000A07CE">
        <w:rPr>
          <w:color w:val="000000" w:themeColor="text1"/>
          <w:lang w:val="mt-MT"/>
        </w:rPr>
        <w:t>, aligns with Sustainable Development Goal 4 (SDG4). SDG4, an initiative proposed by UNESCO’s education sector, aims to guarantee inclusive and equitable quality education and foster lifelong learning opportunities for everyone (</w:t>
      </w:r>
      <w:r w:rsidR="00686981" w:rsidRPr="000A07CE">
        <w:rPr>
          <w:color w:val="000000" w:themeColor="text1"/>
          <w:lang w:val="mt-MT"/>
        </w:rPr>
        <w:t>UNESCO, n.d.</w:t>
      </w:r>
      <w:r w:rsidRPr="000A07CE">
        <w:rPr>
          <w:color w:val="000000" w:themeColor="text1"/>
          <w:lang w:val="mt-MT"/>
        </w:rPr>
        <w:t xml:space="preserve">). Motivated by these principles, this study examined </w:t>
      </w:r>
      <w:r w:rsidR="008B68FB" w:rsidRPr="000A07CE">
        <w:rPr>
          <w:color w:val="000000" w:themeColor="text1"/>
          <w:lang w:val="mt-MT"/>
        </w:rPr>
        <w:t xml:space="preserve">educators’ and </w:t>
      </w:r>
      <w:r w:rsidRPr="000A07CE">
        <w:rPr>
          <w:color w:val="000000" w:themeColor="text1"/>
          <w:lang w:val="mt-MT"/>
        </w:rPr>
        <w:t xml:space="preserve">students’ perspectives and suggestions about skills that increase resilience. </w:t>
      </w:r>
      <w:r w:rsidRPr="000A07CE">
        <w:rPr>
          <w:color w:val="000000" w:themeColor="text1"/>
          <w:shd w:val="clear" w:color="auto" w:fill="FFFFFF"/>
        </w:rPr>
        <w:t xml:space="preserve">Resilience requires new ways of thinking. By linking to the theoretical framework that guided this study, it facilitates innovative approaches to combining risks and assets for planning, and new methods of collaborative problem-solving to advance resilience-based research and policy. Consequently, </w:t>
      </w:r>
      <w:r w:rsidR="0065217F" w:rsidRPr="000A07CE">
        <w:rPr>
          <w:color w:val="000000" w:themeColor="text1"/>
          <w:shd w:val="clear" w:color="auto" w:fill="FFFFFF"/>
        </w:rPr>
        <w:t>participants</w:t>
      </w:r>
      <w:r w:rsidRPr="000A07CE">
        <w:rPr>
          <w:color w:val="000000" w:themeColor="text1"/>
          <w:shd w:val="clear" w:color="auto" w:fill="FFFFFF"/>
        </w:rPr>
        <w:t xml:space="preserve"> recognised the importance of </w:t>
      </w:r>
      <w:r w:rsidR="0065217F" w:rsidRPr="000A07CE">
        <w:rPr>
          <w:color w:val="000000" w:themeColor="text1"/>
          <w:shd w:val="clear" w:color="auto" w:fill="FFFFFF"/>
        </w:rPr>
        <w:t xml:space="preserve">time management, </w:t>
      </w:r>
      <w:r w:rsidRPr="000A07CE">
        <w:rPr>
          <w:color w:val="000000" w:themeColor="text1"/>
          <w:shd w:val="clear" w:color="auto" w:fill="FFFFFF"/>
        </w:rPr>
        <w:t xml:space="preserve">self-efficacy, </w:t>
      </w:r>
      <w:r w:rsidR="0065217F" w:rsidRPr="000A07CE">
        <w:rPr>
          <w:color w:val="000000" w:themeColor="text1"/>
          <w:shd w:val="clear" w:color="auto" w:fill="FFFFFF"/>
        </w:rPr>
        <w:t xml:space="preserve">adaptability, </w:t>
      </w:r>
      <w:r w:rsidRPr="000A07CE">
        <w:rPr>
          <w:color w:val="000000" w:themeColor="text1"/>
          <w:shd w:val="clear" w:color="auto" w:fill="FFFFFF"/>
        </w:rPr>
        <w:t>emotional intelligence, a</w:t>
      </w:r>
      <w:r w:rsidR="00AA5FE2" w:rsidRPr="000A07CE">
        <w:rPr>
          <w:color w:val="000000" w:themeColor="text1"/>
          <w:shd w:val="clear" w:color="auto" w:fill="FFFFFF"/>
        </w:rPr>
        <w:t>nd</w:t>
      </w:r>
      <w:r w:rsidRPr="000A07CE">
        <w:rPr>
          <w:color w:val="000000" w:themeColor="text1"/>
          <w:shd w:val="clear" w:color="auto" w:fill="FFFFFF"/>
        </w:rPr>
        <w:t xml:space="preserve"> growth mindset. </w:t>
      </w:r>
      <w:r w:rsidRPr="000A07CE">
        <w:rPr>
          <w:color w:val="000000" w:themeColor="text1"/>
        </w:rPr>
        <w:t xml:space="preserve">Given that educators are deemed instrumental for such successful endeavours, this study highlights the importance of continuous professional development for educators, who play a crucial role in fostering resilience in students. </w:t>
      </w:r>
    </w:p>
    <w:p w14:paraId="2BA3E075" w14:textId="77777777" w:rsidR="00A0161A" w:rsidRPr="0084708A" w:rsidRDefault="00A0161A" w:rsidP="00FE6E39">
      <w:pPr>
        <w:ind w:firstLine="0"/>
        <w:rPr>
          <w:lang w:val="en-GB" w:eastAsia="en-GB"/>
        </w:rPr>
      </w:pPr>
    </w:p>
    <w:p w14:paraId="508143B8" w14:textId="6C8AAFEA" w:rsidR="005A6D84" w:rsidRPr="00246228" w:rsidRDefault="008B3C3C" w:rsidP="00890F27">
      <w:pPr>
        <w:pStyle w:val="Heading3"/>
      </w:pPr>
      <w:r w:rsidRPr="00246228">
        <w:t>Limitations of this Study</w:t>
      </w:r>
    </w:p>
    <w:p w14:paraId="73A8024E" w14:textId="77777777" w:rsidR="004865AB" w:rsidRPr="0084708A" w:rsidRDefault="004865AB" w:rsidP="004865AB">
      <w:pPr>
        <w:rPr>
          <w:lang w:val="en-GB" w:eastAsia="en-GB"/>
        </w:rPr>
      </w:pPr>
    </w:p>
    <w:p w14:paraId="723B2CD5" w14:textId="0B874D00" w:rsidR="003B6BB8" w:rsidRPr="0084708A" w:rsidRDefault="004865AB" w:rsidP="00811F94">
      <w:r w:rsidRPr="0084708A">
        <w:t xml:space="preserve">Despite the valuable insights gained from this study, several limitations should be acknowledged. The research relied on a qualitative methodology with a relatively small sample size. Additionally, the subjective nature of self-reported data introduces potential biases, as participants may have provided socially desirable responses or may have been influenced by their perceptions of the researcher. </w:t>
      </w:r>
    </w:p>
    <w:p w14:paraId="10C25295" w14:textId="77777777" w:rsidR="00E03B02" w:rsidRPr="0084708A" w:rsidRDefault="00E03B02" w:rsidP="00811F94"/>
    <w:p w14:paraId="72976D92" w14:textId="705ACCE7" w:rsidR="004865AB" w:rsidRPr="0084708A" w:rsidRDefault="004865AB" w:rsidP="00890F27">
      <w:pPr>
        <w:pStyle w:val="Heading3"/>
      </w:pPr>
      <w:r w:rsidRPr="0084708A">
        <w:t>Recommendations for Future Studies</w:t>
      </w:r>
    </w:p>
    <w:p w14:paraId="2FC99569" w14:textId="77777777" w:rsidR="004865AB" w:rsidRPr="0084708A" w:rsidRDefault="004865AB" w:rsidP="004865AB">
      <w:pPr>
        <w:ind w:firstLine="0"/>
      </w:pPr>
    </w:p>
    <w:p w14:paraId="3475A4AE" w14:textId="22E0FE5D" w:rsidR="004865AB" w:rsidRDefault="00DD0CD1" w:rsidP="00DD0CD1">
      <w:r w:rsidRPr="0084708A">
        <w:t xml:space="preserve">Future research should consider adopting a mixed-methods approach to triangulate qualitative insights with quantitative data, enhancing the reliability and generalisability of findings. </w:t>
      </w:r>
      <w:r w:rsidR="00405C1B">
        <w:t>Additionally</w:t>
      </w:r>
      <w:r w:rsidRPr="0084708A">
        <w:t>, exploring the impact of digital interventions and technology-based solutions, such as mobile apps for time management and mindfulness, could provide innovative strategies to support students' academic resilience.</w:t>
      </w:r>
    </w:p>
    <w:p w14:paraId="31B11498" w14:textId="77777777" w:rsidR="003B465A" w:rsidRDefault="003B465A" w:rsidP="003B465A">
      <w:pPr>
        <w:ind w:firstLine="0"/>
      </w:pPr>
    </w:p>
    <w:p w14:paraId="2FB884DC" w14:textId="2188B785" w:rsidR="00F64154" w:rsidRDefault="00F64154" w:rsidP="002D008C">
      <w:pPr>
        <w:pStyle w:val="Heading2"/>
      </w:pPr>
      <w:proofErr w:type="gramStart"/>
      <w:r>
        <w:t>Final Conclusion</w:t>
      </w:r>
      <w:proofErr w:type="gramEnd"/>
    </w:p>
    <w:p w14:paraId="54CDBA39" w14:textId="77777777" w:rsidR="00F64154" w:rsidRDefault="00F64154" w:rsidP="00F64154">
      <w:pPr>
        <w:ind w:firstLine="0"/>
      </w:pPr>
    </w:p>
    <w:p w14:paraId="736DEF6D" w14:textId="77777777" w:rsidR="00F64154" w:rsidRDefault="00F64154" w:rsidP="00F64154">
      <w:r w:rsidRPr="000F7AC3">
        <w:t xml:space="preserve">This study reinforces the priorities outlined in the </w:t>
      </w:r>
      <w:r w:rsidRPr="000F7AC3">
        <w:rPr>
          <w:i/>
          <w:iCs/>
        </w:rPr>
        <w:t>Maltese Education Strategy 2024–2030</w:t>
      </w:r>
      <w:r w:rsidRPr="000F7AC3">
        <w:t xml:space="preserve">, which emphasises student wellbeing, educational achievement, and lifelong learning, as well as the </w:t>
      </w:r>
      <w:r w:rsidRPr="000F7AC3">
        <w:rPr>
          <w:i/>
          <w:iCs/>
        </w:rPr>
        <w:t>MEDE (2017) Working Group Report</w:t>
      </w:r>
      <w:r w:rsidRPr="000F7AC3">
        <w:t>, which calls for a shift away from content-heavy, exam-oriented teaching towards a more holistic, skill-based approach. By examining the perspectives of educators and students, the research identifies time management, problem-solving, emotional intelligence, adaptability, self-efficacy, mindfulness, and growth mindset as essential resilience-building skills. Embedding these metacognitive</w:t>
      </w:r>
      <w:r>
        <w:t>, problem,</w:t>
      </w:r>
      <w:r w:rsidRPr="000F7AC3">
        <w:t xml:space="preserve"> and emotional strategies into the post-secondary curriculum can better prepare students to manage academic pressures and thrive in an increasingly complex educational and professional landscape. The findings offer evidence-based recommendations </w:t>
      </w:r>
      <w:r w:rsidRPr="000F7AC3">
        <w:lastRenderedPageBreak/>
        <w:t>that support national educational reforms aimed at cultivating resilient, self-aware, and future-ready learners.</w:t>
      </w:r>
    </w:p>
    <w:p w14:paraId="112D828B" w14:textId="77777777" w:rsidR="00287B80" w:rsidRDefault="00287B80" w:rsidP="00287B80">
      <w:pPr>
        <w:ind w:firstLine="0"/>
      </w:pPr>
    </w:p>
    <w:p w14:paraId="0552D14B" w14:textId="507AA873" w:rsidR="00287B80" w:rsidRPr="00246228" w:rsidRDefault="00287B80" w:rsidP="002D008C">
      <w:pPr>
        <w:pStyle w:val="Heading2"/>
      </w:pPr>
      <w:r w:rsidRPr="00246228">
        <w:t>References</w:t>
      </w:r>
    </w:p>
    <w:p w14:paraId="379BC28F" w14:textId="77777777" w:rsidR="00287B80" w:rsidRDefault="00287B80" w:rsidP="007D734B">
      <w:pPr>
        <w:pStyle w:val="References"/>
      </w:pPr>
    </w:p>
    <w:p w14:paraId="39BCCA13" w14:textId="766C3193" w:rsidR="00287B80" w:rsidRPr="00C92BF9" w:rsidRDefault="00287B80" w:rsidP="007D734B">
      <w:pPr>
        <w:pStyle w:val="References"/>
        <w:rPr>
          <w:shd w:val="clear" w:color="auto" w:fill="auto"/>
          <w:lang w:eastAsia="en-GB"/>
        </w:rPr>
      </w:pPr>
      <w:r w:rsidRPr="00C92BF9">
        <w:rPr>
          <w:shd w:val="clear" w:color="auto" w:fill="auto"/>
          <w:lang w:eastAsia="en-GB"/>
        </w:rPr>
        <w:t xml:space="preserve">Alyami, M., Melyani, Z., Al Johani, A., Ullah, E., Alyami, H., Sundram, F., &amp; Hill, A. G. (2021). The impact of time management on the academic performance of students: A cross-sectional study. </w:t>
      </w:r>
      <w:r w:rsidRPr="00C92BF9">
        <w:rPr>
          <w:i/>
          <w:iCs/>
          <w:shd w:val="clear" w:color="auto" w:fill="auto"/>
          <w:lang w:eastAsia="en-GB"/>
        </w:rPr>
        <w:t>Education Sciences, 11</w:t>
      </w:r>
      <w:r w:rsidRPr="00C92BF9">
        <w:rPr>
          <w:shd w:val="clear" w:color="auto" w:fill="auto"/>
          <w:lang w:eastAsia="en-GB"/>
        </w:rPr>
        <w:t xml:space="preserve">(9), 471. </w:t>
      </w:r>
      <w:hyperlink r:id="rId9" w:history="1">
        <w:r w:rsidR="00DB40B1" w:rsidRPr="00C92BF9">
          <w:rPr>
            <w:rStyle w:val="Hyperlink"/>
            <w:shd w:val="clear" w:color="auto" w:fill="auto"/>
            <w:lang w:val="en-GB" w:eastAsia="en-GB"/>
            <w14:ligatures w14:val="none"/>
          </w:rPr>
          <w:t>https://doi.org/10.3390/educsci11090471</w:t>
        </w:r>
      </w:hyperlink>
      <w:r w:rsidR="00DB40B1" w:rsidRPr="00C92BF9">
        <w:rPr>
          <w:shd w:val="clear" w:color="auto" w:fill="auto"/>
          <w:lang w:eastAsia="en-GB"/>
        </w:rPr>
        <w:t xml:space="preserve"> </w:t>
      </w:r>
    </w:p>
    <w:p w14:paraId="70EE5F19" w14:textId="0D134852" w:rsidR="001343BA" w:rsidRPr="00C92BF9" w:rsidRDefault="001343BA" w:rsidP="007D734B">
      <w:pPr>
        <w:pStyle w:val="References"/>
        <w:rPr>
          <w:sz w:val="23"/>
          <w:szCs w:val="23"/>
          <w:shd w:val="clear" w:color="auto" w:fill="auto"/>
        </w:rPr>
      </w:pPr>
      <w:r w:rsidRPr="00C92BF9">
        <w:rPr>
          <w:rStyle w:val="ReferencesChar"/>
          <w:shd w:val="clear" w:color="auto" w:fill="auto"/>
        </w:rPr>
        <w:t>Aspers, P., &amp; Corte, U. (2019). What is qualitative in qualitative research? Qualitative Sociology, 42(2), 139–160</w:t>
      </w:r>
      <w:r w:rsidRPr="00C92BF9">
        <w:rPr>
          <w:shd w:val="clear" w:color="auto" w:fill="auto"/>
        </w:rPr>
        <w:t xml:space="preserve">. </w:t>
      </w:r>
      <w:hyperlink r:id="rId10" w:history="1">
        <w:r w:rsidRPr="00C92BF9">
          <w:rPr>
            <w:rStyle w:val="Hyperlink"/>
            <w:shd w:val="clear" w:color="auto" w:fill="auto"/>
          </w:rPr>
          <w:t>https://doi.org/10.1007/s11133-019-9413-7</w:t>
        </w:r>
      </w:hyperlink>
      <w:r w:rsidRPr="00C92BF9">
        <w:rPr>
          <w:shd w:val="clear" w:color="auto" w:fill="auto"/>
        </w:rPr>
        <w:t xml:space="preserve"> </w:t>
      </w:r>
    </w:p>
    <w:p w14:paraId="3FFA21B1" w14:textId="2AD7CF78" w:rsidR="00021771" w:rsidRPr="00C92BF9" w:rsidRDefault="00287B80" w:rsidP="007D734B">
      <w:pPr>
        <w:pStyle w:val="References"/>
        <w:rPr>
          <w:rFonts w:cs="Segoe UI"/>
          <w:shd w:val="clear" w:color="auto" w:fill="auto"/>
        </w:rPr>
      </w:pPr>
      <w:r w:rsidRPr="00C92BF9">
        <w:rPr>
          <w:shd w:val="clear" w:color="auto" w:fill="auto"/>
          <w:lang w:eastAsia="en-GB"/>
        </w:rPr>
        <w:t xml:space="preserve">Atkins, S., &amp; Muscat-Inglott, S. (2023). Mindfulness and resilience among university students: A Maltese perspective. </w:t>
      </w:r>
      <w:r w:rsidRPr="00C92BF9">
        <w:rPr>
          <w:i/>
          <w:iCs/>
          <w:shd w:val="clear" w:color="auto" w:fill="auto"/>
          <w:lang w:eastAsia="en-GB"/>
        </w:rPr>
        <w:t>Journal of Applied Psychology, 14</w:t>
      </w:r>
      <w:r w:rsidRPr="00C92BF9">
        <w:rPr>
          <w:shd w:val="clear" w:color="auto" w:fill="auto"/>
          <w:lang w:eastAsia="en-GB"/>
        </w:rPr>
        <w:t>(2), 134-145.</w:t>
      </w:r>
      <w:r w:rsidR="00021771" w:rsidRPr="00C92BF9">
        <w:rPr>
          <w:shd w:val="clear" w:color="auto" w:fill="auto"/>
          <w:lang w:eastAsia="en-GB"/>
        </w:rPr>
        <w:t xml:space="preserve"> </w:t>
      </w:r>
      <w:hyperlink r:id="rId11" w:history="1">
        <w:r w:rsidR="00021771" w:rsidRPr="00C92BF9">
          <w:rPr>
            <w:rStyle w:val="Hyperlink"/>
            <w:color w:val="BA0C2F"/>
            <w:shd w:val="clear" w:color="auto" w:fill="auto"/>
          </w:rPr>
          <w:t>https://www.um.edu.mt/library/oar/handle/123456789/111870</w:t>
        </w:r>
      </w:hyperlink>
    </w:p>
    <w:p w14:paraId="2E248B89" w14:textId="4213AEAD" w:rsidR="00287B80" w:rsidRPr="00C92BF9" w:rsidRDefault="00287B80" w:rsidP="007D734B">
      <w:pPr>
        <w:pStyle w:val="References"/>
        <w:rPr>
          <w:shd w:val="clear" w:color="auto" w:fill="auto"/>
          <w:lang w:eastAsia="en-GB"/>
        </w:rPr>
      </w:pPr>
      <w:r w:rsidRPr="00C92BF9">
        <w:rPr>
          <w:shd w:val="clear" w:color="auto" w:fill="auto"/>
          <w:lang w:eastAsia="en-GB"/>
        </w:rPr>
        <w:t>Bandura, A. (1997). Self-efficacy: The exercise of control. W.H. Freeman.</w:t>
      </w:r>
    </w:p>
    <w:p w14:paraId="4B09DE6F" w14:textId="607FFD47" w:rsidR="00287B80" w:rsidRPr="00C92BF9" w:rsidRDefault="00287B80" w:rsidP="007D734B">
      <w:pPr>
        <w:pStyle w:val="References"/>
        <w:rPr>
          <w:shd w:val="clear" w:color="auto" w:fill="auto"/>
          <w:lang w:eastAsia="en-GB"/>
        </w:rPr>
      </w:pPr>
      <w:r w:rsidRPr="00C92BF9">
        <w:rPr>
          <w:shd w:val="clear" w:color="auto" w:fill="auto"/>
          <w:lang w:eastAsia="en-GB"/>
        </w:rPr>
        <w:t xml:space="preserve">Basso, D., &amp; Cottini, M. (2023). Cognitive neuroscience and education: Not a gap to be bridged but a common field to be cultivated. </w:t>
      </w:r>
      <w:r w:rsidRPr="00C92BF9">
        <w:rPr>
          <w:i/>
          <w:iCs/>
          <w:shd w:val="clear" w:color="auto" w:fill="auto"/>
          <w:lang w:eastAsia="en-GB"/>
        </w:rPr>
        <w:t>Sustainability, 15</w:t>
      </w:r>
      <w:r w:rsidRPr="00C92BF9">
        <w:rPr>
          <w:shd w:val="clear" w:color="auto" w:fill="auto"/>
          <w:lang w:eastAsia="en-GB"/>
        </w:rPr>
        <w:t xml:space="preserve">(2), 1-13. </w:t>
      </w:r>
      <w:hyperlink r:id="rId12" w:tgtFrame="_new" w:history="1">
        <w:r w:rsidRPr="00C92BF9">
          <w:rPr>
            <w:color w:val="0000FF"/>
            <w:u w:val="single"/>
            <w:shd w:val="clear" w:color="auto" w:fill="auto"/>
            <w:lang w:eastAsia="en-GB"/>
          </w:rPr>
          <w:t>https://doi.org/10.3390/su15021628</w:t>
        </w:r>
      </w:hyperlink>
    </w:p>
    <w:p w14:paraId="768D8DAB" w14:textId="011D4E32" w:rsidR="00A67B4C" w:rsidRPr="00C92BF9" w:rsidRDefault="00A67B4C" w:rsidP="007D734B">
      <w:pPr>
        <w:pStyle w:val="References"/>
        <w:rPr>
          <w:sz w:val="23"/>
          <w:szCs w:val="23"/>
          <w:shd w:val="clear" w:color="auto" w:fill="auto"/>
        </w:rPr>
      </w:pPr>
      <w:r w:rsidRPr="00C92BF9">
        <w:rPr>
          <w:shd w:val="clear" w:color="auto" w:fill="auto"/>
        </w:rPr>
        <w:t xml:space="preserve">Beale, J., &amp; Konstantinou, I. (2023). Building academic resilience in secondary school students – A research review and case study. In </w:t>
      </w:r>
      <w:r w:rsidRPr="00C92BF9">
        <w:rPr>
          <w:rStyle w:val="Emphasis"/>
          <w:shd w:val="clear" w:color="auto" w:fill="auto"/>
        </w:rPr>
        <w:t>Transcending Crisis by Attending to Care, Emotion and Flourishing</w:t>
      </w:r>
      <w:r w:rsidRPr="00C92BF9">
        <w:rPr>
          <w:shd w:val="clear" w:color="auto" w:fill="auto"/>
        </w:rPr>
        <w:t xml:space="preserve">. Routledge. </w:t>
      </w:r>
      <w:hyperlink r:id="rId13" w:history="1">
        <w:r w:rsidRPr="00C92BF9">
          <w:rPr>
            <w:rStyle w:val="Hyperlink"/>
            <w:shd w:val="clear" w:color="auto" w:fill="auto"/>
          </w:rPr>
          <w:t>https://www.academia.edu/86230479/Building_Academic_Resilience_in_Secondary_School_Students_A_Research_Review_and_Case_Study</w:t>
        </w:r>
      </w:hyperlink>
      <w:r w:rsidRPr="00C92BF9">
        <w:rPr>
          <w:shd w:val="clear" w:color="auto" w:fill="auto"/>
        </w:rPr>
        <w:t xml:space="preserve"> </w:t>
      </w:r>
    </w:p>
    <w:p w14:paraId="21D8EA00" w14:textId="52782E07" w:rsidR="00CB315B" w:rsidRPr="00C92BF9" w:rsidRDefault="00CB315B" w:rsidP="007D734B">
      <w:pPr>
        <w:pStyle w:val="References"/>
        <w:rPr>
          <w:shd w:val="clear" w:color="auto" w:fill="auto"/>
          <w:lang w:eastAsia="en-GB"/>
        </w:rPr>
      </w:pPr>
      <w:r w:rsidRPr="00C92BF9">
        <w:rPr>
          <w:shd w:val="clear" w:color="auto" w:fill="auto"/>
        </w:rPr>
        <w:t>Beer, N., &amp; Moneta, G. B. (2012). Coping and Perceived Stress as a Function of Positive Metacognitions and Positive Meta-Emotions. </w:t>
      </w:r>
      <w:r w:rsidRPr="00C92BF9">
        <w:rPr>
          <w:i/>
          <w:iCs/>
          <w:shd w:val="clear" w:color="auto" w:fill="auto"/>
        </w:rPr>
        <w:t>Individual Differences Research</w:t>
      </w:r>
      <w:r w:rsidRPr="00C92BF9">
        <w:rPr>
          <w:shd w:val="clear" w:color="auto" w:fill="auto"/>
        </w:rPr>
        <w:t>, </w:t>
      </w:r>
      <w:r w:rsidRPr="00C92BF9">
        <w:rPr>
          <w:i/>
          <w:iCs/>
          <w:shd w:val="clear" w:color="auto" w:fill="auto"/>
        </w:rPr>
        <w:t>10</w:t>
      </w:r>
      <w:r w:rsidRPr="00C92BF9">
        <w:rPr>
          <w:shd w:val="clear" w:color="auto" w:fill="auto"/>
        </w:rPr>
        <w:t>(2).</w:t>
      </w:r>
      <w:r w:rsidR="0067575E" w:rsidRPr="00C92BF9">
        <w:rPr>
          <w:shd w:val="clear" w:color="auto" w:fill="auto"/>
        </w:rPr>
        <w:t xml:space="preserve"> </w:t>
      </w:r>
      <w:hyperlink r:id="rId14" w:tgtFrame="_blank" w:tooltip="Persistent link using digital object identifier" w:history="1">
        <w:r w:rsidR="0067575E" w:rsidRPr="00C92BF9">
          <w:rPr>
            <w:rStyle w:val="anchor-text"/>
            <w:color w:val="0000FF"/>
            <w:shd w:val="clear" w:color="auto" w:fill="auto"/>
          </w:rPr>
          <w:t>https://doi.org/10.1016/j.paid.2010.08.008</w:t>
        </w:r>
      </w:hyperlink>
    </w:p>
    <w:p w14:paraId="258086D3" w14:textId="30265AA3" w:rsidR="00937878" w:rsidRPr="00C92BF9" w:rsidRDefault="00937878" w:rsidP="007D734B">
      <w:pPr>
        <w:pStyle w:val="References"/>
        <w:rPr>
          <w:shd w:val="clear" w:color="auto" w:fill="auto"/>
          <w:lang w:eastAsia="en-GB"/>
        </w:rPr>
      </w:pPr>
      <w:r w:rsidRPr="00C92BF9">
        <w:rPr>
          <w:shd w:val="clear" w:color="auto" w:fill="auto"/>
        </w:rPr>
        <w:t>Bledsoe, T. S., &amp; Baskin, J. J. (2014). Recognizing Student Fear: The Elephant in the Classroom. </w:t>
      </w:r>
      <w:r w:rsidRPr="00C92BF9">
        <w:rPr>
          <w:i/>
          <w:iCs/>
          <w:shd w:val="clear" w:color="auto" w:fill="auto"/>
        </w:rPr>
        <w:t>College Teaching</w:t>
      </w:r>
      <w:r w:rsidRPr="00C92BF9">
        <w:rPr>
          <w:shd w:val="clear" w:color="auto" w:fill="auto"/>
        </w:rPr>
        <w:t>, </w:t>
      </w:r>
      <w:r w:rsidRPr="00C92BF9">
        <w:rPr>
          <w:i/>
          <w:iCs/>
          <w:shd w:val="clear" w:color="auto" w:fill="auto"/>
        </w:rPr>
        <w:t>62</w:t>
      </w:r>
      <w:r w:rsidRPr="00C92BF9">
        <w:rPr>
          <w:shd w:val="clear" w:color="auto" w:fill="auto"/>
        </w:rPr>
        <w:t xml:space="preserve">(1), 32–41. </w:t>
      </w:r>
      <w:hyperlink r:id="rId15" w:history="1">
        <w:r w:rsidR="00C92BF9" w:rsidRPr="00C92BF9">
          <w:rPr>
            <w:rStyle w:val="Hyperlink"/>
            <w:shd w:val="clear" w:color="auto" w:fill="auto"/>
          </w:rPr>
          <w:t>https://doi.org/10.1080/87567555.2013.831022</w:t>
        </w:r>
      </w:hyperlink>
      <w:r w:rsidR="00C92BF9" w:rsidRPr="00C92BF9">
        <w:rPr>
          <w:shd w:val="clear" w:color="auto" w:fill="auto"/>
        </w:rPr>
        <w:t xml:space="preserve"> </w:t>
      </w:r>
    </w:p>
    <w:p w14:paraId="54A73618" w14:textId="7B84821D" w:rsidR="00287B80" w:rsidRPr="00C92BF9" w:rsidRDefault="00287B80" w:rsidP="007D734B">
      <w:pPr>
        <w:pStyle w:val="References"/>
        <w:rPr>
          <w:shd w:val="clear" w:color="auto" w:fill="auto"/>
          <w:lang w:eastAsia="en-GB"/>
        </w:rPr>
      </w:pPr>
      <w:r w:rsidRPr="00C92BF9">
        <w:rPr>
          <w:shd w:val="clear" w:color="auto" w:fill="auto"/>
          <w:lang w:eastAsia="en-GB"/>
        </w:rPr>
        <w:t xml:space="preserve">Bradburn, N. M. (1969). </w:t>
      </w:r>
      <w:r w:rsidRPr="00C92BF9">
        <w:rPr>
          <w:i/>
          <w:iCs/>
          <w:shd w:val="clear" w:color="auto" w:fill="auto"/>
          <w:lang w:eastAsia="en-GB"/>
        </w:rPr>
        <w:t>The structure of psychological wellbeing.</w:t>
      </w:r>
      <w:r w:rsidRPr="00C92BF9">
        <w:rPr>
          <w:shd w:val="clear" w:color="auto" w:fill="auto"/>
          <w:lang w:eastAsia="en-GB"/>
        </w:rPr>
        <w:t xml:space="preserve"> Walter de Gruyter.</w:t>
      </w:r>
    </w:p>
    <w:p w14:paraId="1B49423C" w14:textId="03ECDCB2" w:rsidR="007E7439" w:rsidRPr="00C92BF9" w:rsidRDefault="007E7439" w:rsidP="007D734B">
      <w:pPr>
        <w:pStyle w:val="References"/>
        <w:rPr>
          <w:shd w:val="clear" w:color="auto" w:fill="auto"/>
        </w:rPr>
      </w:pPr>
      <w:r w:rsidRPr="00C92BF9">
        <w:rPr>
          <w:color w:val="000000"/>
          <w:shd w:val="clear" w:color="auto" w:fill="auto"/>
        </w:rPr>
        <w:t xml:space="preserve">Braun, V., &amp; Clarke, V. (2021). </w:t>
      </w:r>
      <w:r w:rsidRPr="00C92BF9">
        <w:rPr>
          <w:i/>
          <w:iCs/>
          <w:shd w:val="clear" w:color="auto" w:fill="auto"/>
        </w:rPr>
        <w:t>Thematic analysis: A practical guide</w:t>
      </w:r>
      <w:r w:rsidRPr="00C92BF9">
        <w:rPr>
          <w:shd w:val="clear" w:color="auto" w:fill="auto"/>
        </w:rPr>
        <w:t>. SAGE Publications.</w:t>
      </w:r>
    </w:p>
    <w:p w14:paraId="647EB696" w14:textId="69EA9CE4" w:rsidR="007E7439" w:rsidRPr="00C92BF9" w:rsidRDefault="007E7439" w:rsidP="007D734B">
      <w:pPr>
        <w:pStyle w:val="References"/>
        <w:rPr>
          <w:b/>
          <w:shd w:val="clear" w:color="auto" w:fill="auto"/>
        </w:rPr>
      </w:pPr>
      <w:r w:rsidRPr="00C92BF9">
        <w:rPr>
          <w:shd w:val="clear" w:color="auto" w:fill="auto"/>
        </w:rPr>
        <w:t xml:space="preserve">Braun, V., &amp; Clarke, V. (2022). Toward good practice in thematic analysis: Avoiding common pitfalls and advancing quality. </w:t>
      </w:r>
      <w:r w:rsidRPr="00C92BF9">
        <w:rPr>
          <w:i/>
          <w:iCs/>
          <w:shd w:val="clear" w:color="auto" w:fill="auto"/>
        </w:rPr>
        <w:t>Psychology and Health, 37</w:t>
      </w:r>
      <w:r w:rsidRPr="00C92BF9">
        <w:rPr>
          <w:shd w:val="clear" w:color="auto" w:fill="auto"/>
        </w:rPr>
        <w:t xml:space="preserve">(1), 1-10. </w:t>
      </w:r>
      <w:hyperlink r:id="rId16" w:history="1">
        <w:r w:rsidRPr="00C92BF9">
          <w:rPr>
            <w:rStyle w:val="Hyperlink"/>
            <w:shd w:val="clear" w:color="auto" w:fill="auto"/>
          </w:rPr>
          <w:t>https://www.doi.org/10.1080/08870446.2021.2039437</w:t>
        </w:r>
      </w:hyperlink>
      <w:r w:rsidRPr="00C92BF9">
        <w:rPr>
          <w:shd w:val="clear" w:color="auto" w:fill="auto"/>
        </w:rPr>
        <w:t xml:space="preserve"> </w:t>
      </w:r>
    </w:p>
    <w:p w14:paraId="60F3EEFA" w14:textId="77777777" w:rsidR="00566FC1" w:rsidRPr="000E58EC" w:rsidRDefault="00566FC1" w:rsidP="007D734B">
      <w:pPr>
        <w:pStyle w:val="References"/>
      </w:pPr>
      <w:r w:rsidRPr="000E58EC">
        <w:t xml:space="preserve">Brewer, M., Van Kessel, G., Sanderson, B., &amp; Hart, A. (2021). Enhancing student resilience by targeting staff resilience, attitudes and practices. </w:t>
      </w:r>
      <w:r w:rsidRPr="000E58EC">
        <w:rPr>
          <w:i/>
          <w:iCs/>
        </w:rPr>
        <w:t>Higher Education Research and Development. 41</w:t>
      </w:r>
      <w:r w:rsidRPr="000E58EC">
        <w:t xml:space="preserve">. </w:t>
      </w:r>
      <w:hyperlink r:id="rId17" w:history="1">
        <w:r w:rsidRPr="000E58EC">
          <w:rPr>
            <w:rStyle w:val="Hyperlink"/>
          </w:rPr>
          <w:t>https://www.doi.org/10.1080/07294360.2021.1877622</w:t>
        </w:r>
      </w:hyperlink>
      <w:r w:rsidRPr="000E58EC">
        <w:t xml:space="preserve"> </w:t>
      </w:r>
    </w:p>
    <w:p w14:paraId="02F0A9FF" w14:textId="20D706BA" w:rsidR="007A17D3" w:rsidRPr="00385A61" w:rsidRDefault="007A17D3" w:rsidP="007D734B">
      <w:pPr>
        <w:pStyle w:val="References"/>
      </w:pPr>
      <w:r w:rsidRPr="00385A61">
        <w:t>Buchanan, A., &amp; Greig, J. (2021). Shifting mindsets: Transforming self, school, and society. In </w:t>
      </w:r>
      <w:r w:rsidRPr="00385A61">
        <w:rPr>
          <w:i/>
          <w:iCs/>
        </w:rPr>
        <w:t>The Palgrave handbook of positive education</w:t>
      </w:r>
      <w:r w:rsidRPr="00385A61">
        <w:t> (pp. 493-524). Cham: Springer International Publishing.</w:t>
      </w:r>
      <w:r>
        <w:t xml:space="preserve"> </w:t>
      </w:r>
    </w:p>
    <w:p w14:paraId="60AD44F0" w14:textId="60D79F3A" w:rsidR="000C2211" w:rsidRPr="00C92BF9" w:rsidRDefault="000C2211" w:rsidP="007D734B">
      <w:pPr>
        <w:pStyle w:val="References"/>
        <w:rPr>
          <w:shd w:val="clear" w:color="auto" w:fill="auto"/>
        </w:rPr>
      </w:pPr>
      <w:r w:rsidRPr="00C92BF9">
        <w:rPr>
          <w:shd w:val="clear" w:color="auto" w:fill="auto"/>
        </w:rPr>
        <w:t>Buzzetto-Hollywood, N., Mitchell, B. C., &amp; Hill, A. J. (2019). Introducing a mindset intervention to improve student success. </w:t>
      </w:r>
      <w:r w:rsidRPr="00C92BF9">
        <w:rPr>
          <w:i/>
          <w:iCs/>
          <w:shd w:val="clear" w:color="auto" w:fill="auto"/>
        </w:rPr>
        <w:t>Interdisciplinary Journal of e-Skills and Lifelong Learning</w:t>
      </w:r>
      <w:r w:rsidRPr="00C92BF9">
        <w:rPr>
          <w:shd w:val="clear" w:color="auto" w:fill="auto"/>
        </w:rPr>
        <w:t>, </w:t>
      </w:r>
      <w:r w:rsidRPr="00C92BF9">
        <w:rPr>
          <w:i/>
          <w:iCs/>
          <w:shd w:val="clear" w:color="auto" w:fill="auto"/>
        </w:rPr>
        <w:t>15</w:t>
      </w:r>
      <w:r w:rsidRPr="00C92BF9">
        <w:rPr>
          <w:shd w:val="clear" w:color="auto" w:fill="auto"/>
        </w:rPr>
        <w:t>, 135-155.</w:t>
      </w:r>
      <w:r w:rsidR="00200EE6" w:rsidRPr="00C92BF9">
        <w:rPr>
          <w:shd w:val="clear" w:color="auto" w:fill="auto"/>
        </w:rPr>
        <w:t xml:space="preserve"> </w:t>
      </w:r>
      <w:hyperlink r:id="rId18" w:history="1">
        <w:r w:rsidR="00AA53A0" w:rsidRPr="00C92BF9">
          <w:rPr>
            <w:rStyle w:val="Hyperlink"/>
            <w:shd w:val="clear" w:color="auto" w:fill="auto"/>
          </w:rPr>
          <w:t>https://shorturl.at/Pc41R</w:t>
        </w:r>
      </w:hyperlink>
      <w:r w:rsidR="00AA53A0" w:rsidRPr="00C92BF9">
        <w:rPr>
          <w:shd w:val="clear" w:color="auto" w:fill="auto"/>
        </w:rPr>
        <w:t xml:space="preserve"> </w:t>
      </w:r>
    </w:p>
    <w:p w14:paraId="1BE445C0" w14:textId="6FEC8B6A" w:rsidR="000B1F56" w:rsidRPr="00C92BF9" w:rsidRDefault="000B1F56" w:rsidP="007D734B">
      <w:pPr>
        <w:pStyle w:val="References"/>
        <w:rPr>
          <w:shd w:val="clear" w:color="auto" w:fill="auto"/>
          <w:lang w:eastAsia="en-GB"/>
        </w:rPr>
      </w:pPr>
      <w:r w:rsidRPr="00C92BF9">
        <w:rPr>
          <w:shd w:val="clear" w:color="auto" w:fill="auto"/>
        </w:rPr>
        <w:t xml:space="preserve">Calonia, J. T., Pagente, D. P., Desierto, D. J. C., Capio, R. T., Tembrevilla, J. A. P., Guzman, C. A., &amp; Nicor, A. J. S. (2023). </w:t>
      </w:r>
      <w:r w:rsidR="00DF76E4" w:rsidRPr="00C92BF9">
        <w:rPr>
          <w:shd w:val="clear" w:color="auto" w:fill="auto"/>
        </w:rPr>
        <w:t>Time management and academic achievement: Examining the roles of prioritization, procrastination and socialization.</w:t>
      </w:r>
      <w:r w:rsidRPr="00C92BF9">
        <w:rPr>
          <w:shd w:val="clear" w:color="auto" w:fill="auto"/>
        </w:rPr>
        <w:t> </w:t>
      </w:r>
      <w:r w:rsidRPr="00C92BF9">
        <w:rPr>
          <w:i/>
          <w:iCs/>
          <w:shd w:val="clear" w:color="auto" w:fill="auto"/>
        </w:rPr>
        <w:t>Online Submission</w:t>
      </w:r>
      <w:r w:rsidRPr="00C92BF9">
        <w:rPr>
          <w:shd w:val="clear" w:color="auto" w:fill="auto"/>
        </w:rPr>
        <w:t>, </w:t>
      </w:r>
      <w:r w:rsidRPr="00C92BF9">
        <w:rPr>
          <w:i/>
          <w:iCs/>
          <w:shd w:val="clear" w:color="auto" w:fill="auto"/>
        </w:rPr>
        <w:t>8</w:t>
      </w:r>
      <w:r w:rsidRPr="00C92BF9">
        <w:rPr>
          <w:shd w:val="clear" w:color="auto" w:fill="auto"/>
        </w:rPr>
        <w:t>(6), 766-775.</w:t>
      </w:r>
      <w:r w:rsidR="00DF76E4" w:rsidRPr="00C92BF9">
        <w:rPr>
          <w:shd w:val="clear" w:color="auto" w:fill="auto"/>
        </w:rPr>
        <w:t xml:space="preserve"> </w:t>
      </w:r>
      <w:hyperlink r:id="rId19" w:history="1">
        <w:r w:rsidR="00DF76E4" w:rsidRPr="00C92BF9">
          <w:rPr>
            <w:rStyle w:val="Hyperlink"/>
            <w:shd w:val="clear" w:color="auto" w:fill="auto"/>
          </w:rPr>
          <w:t>https://eric.ed.gov/?id=ED647441</w:t>
        </w:r>
      </w:hyperlink>
      <w:r w:rsidR="00DF76E4" w:rsidRPr="00C92BF9">
        <w:rPr>
          <w:shd w:val="clear" w:color="auto" w:fill="auto"/>
        </w:rPr>
        <w:t xml:space="preserve"> </w:t>
      </w:r>
    </w:p>
    <w:p w14:paraId="2DD31488" w14:textId="22546CF2" w:rsidR="00287B80" w:rsidRPr="00C92BF9" w:rsidRDefault="00287B80" w:rsidP="007D734B">
      <w:pPr>
        <w:pStyle w:val="References"/>
        <w:rPr>
          <w:shd w:val="clear" w:color="auto" w:fill="auto"/>
          <w:lang w:eastAsia="en-GB"/>
        </w:rPr>
      </w:pPr>
      <w:r w:rsidRPr="00C92BF9">
        <w:rPr>
          <w:shd w:val="clear" w:color="auto" w:fill="auto"/>
          <w:lang w:eastAsia="en-GB"/>
        </w:rPr>
        <w:t xml:space="preserve">Cassidy, S. (2015). Resilience building in students: The role of academic self-efficacy. </w:t>
      </w:r>
      <w:r w:rsidRPr="00C92BF9">
        <w:rPr>
          <w:i/>
          <w:iCs/>
          <w:shd w:val="clear" w:color="auto" w:fill="auto"/>
          <w:lang w:eastAsia="en-GB"/>
        </w:rPr>
        <w:t>Frontiers in Psychology, 6</w:t>
      </w:r>
      <w:r w:rsidRPr="00C92BF9">
        <w:rPr>
          <w:shd w:val="clear" w:color="auto" w:fill="auto"/>
          <w:lang w:eastAsia="en-GB"/>
        </w:rPr>
        <w:t xml:space="preserve">, 1781. </w:t>
      </w:r>
      <w:hyperlink r:id="rId20" w:tgtFrame="_new" w:history="1">
        <w:r w:rsidRPr="00C92BF9">
          <w:rPr>
            <w:color w:val="0000FF"/>
            <w:u w:val="single"/>
            <w:shd w:val="clear" w:color="auto" w:fill="auto"/>
            <w:lang w:eastAsia="en-GB"/>
          </w:rPr>
          <w:t>https://doi.org/10.3389/fpsyg.2015.01781</w:t>
        </w:r>
      </w:hyperlink>
    </w:p>
    <w:p w14:paraId="15C768C5" w14:textId="06A40985" w:rsidR="00287B80" w:rsidRPr="00C92BF9" w:rsidRDefault="00287B80" w:rsidP="007D734B">
      <w:pPr>
        <w:pStyle w:val="References"/>
        <w:rPr>
          <w:shd w:val="clear" w:color="auto" w:fill="auto"/>
          <w:lang w:eastAsia="en-GB"/>
        </w:rPr>
      </w:pPr>
      <w:r w:rsidRPr="00C92BF9">
        <w:rPr>
          <w:shd w:val="clear" w:color="auto" w:fill="auto"/>
          <w:lang w:eastAsia="en-GB"/>
        </w:rPr>
        <w:lastRenderedPageBreak/>
        <w:t xml:space="preserve">Cefai, C. (2021). </w:t>
      </w:r>
      <w:r w:rsidRPr="00C92BF9">
        <w:rPr>
          <w:i/>
          <w:iCs/>
          <w:shd w:val="clear" w:color="auto" w:fill="auto"/>
          <w:lang w:eastAsia="en-GB"/>
        </w:rPr>
        <w:t>Resilience in education: Concepts, contexts and practices.</w:t>
      </w:r>
      <w:r w:rsidRPr="00C92BF9">
        <w:rPr>
          <w:shd w:val="clear" w:color="auto" w:fill="auto"/>
          <w:lang w:eastAsia="en-GB"/>
        </w:rPr>
        <w:t xml:space="preserve"> Springer. </w:t>
      </w:r>
      <w:hyperlink r:id="rId21" w:history="1">
        <w:r w:rsidR="00E7784B" w:rsidRPr="00C92BF9">
          <w:rPr>
            <w:rStyle w:val="Hyperlink"/>
            <w:shd w:val="clear" w:color="auto" w:fill="auto"/>
            <w:lang w:eastAsia="en-GB"/>
          </w:rPr>
          <w:t>https://doi.org/10.1007/978-3-030-74037-6</w:t>
        </w:r>
      </w:hyperlink>
      <w:r w:rsidR="00E7784B" w:rsidRPr="00C92BF9">
        <w:rPr>
          <w:shd w:val="clear" w:color="auto" w:fill="auto"/>
          <w:lang w:eastAsia="en-GB"/>
        </w:rPr>
        <w:t xml:space="preserve"> </w:t>
      </w:r>
    </w:p>
    <w:p w14:paraId="43419EAA" w14:textId="77777777" w:rsidR="00E7784B" w:rsidRPr="00C92BF9" w:rsidRDefault="00287B80" w:rsidP="007D734B">
      <w:pPr>
        <w:pStyle w:val="References"/>
        <w:rPr>
          <w:shd w:val="clear" w:color="auto" w:fill="auto"/>
        </w:rPr>
      </w:pPr>
      <w:r w:rsidRPr="00C92BF9">
        <w:rPr>
          <w:shd w:val="clear" w:color="auto" w:fill="auto"/>
          <w:lang w:eastAsia="en-GB"/>
        </w:rPr>
        <w:t xml:space="preserve">Cefai, C., &amp; Spiteri, R. (2020). </w:t>
      </w:r>
      <w:r w:rsidRPr="00C92BF9">
        <w:rPr>
          <w:i/>
          <w:iCs/>
          <w:shd w:val="clear" w:color="auto" w:fill="auto"/>
          <w:lang w:eastAsia="en-GB"/>
        </w:rPr>
        <w:t>Resilience in schools: Research and practice.</w:t>
      </w:r>
      <w:r w:rsidRPr="00C92BF9">
        <w:rPr>
          <w:shd w:val="clear" w:color="auto" w:fill="auto"/>
          <w:lang w:eastAsia="en-GB"/>
        </w:rPr>
        <w:t xml:space="preserve"> University of Malta, Centre for Resilience and Socio-Emotional Health.</w:t>
      </w:r>
      <w:r w:rsidR="00E7784B" w:rsidRPr="00C92BF9">
        <w:rPr>
          <w:shd w:val="clear" w:color="auto" w:fill="auto"/>
          <w:lang w:eastAsia="en-GB"/>
        </w:rPr>
        <w:t xml:space="preserve"> </w:t>
      </w:r>
      <w:hyperlink r:id="rId22" w:history="1">
        <w:r w:rsidR="00E7784B" w:rsidRPr="00C92BF9">
          <w:rPr>
            <w:rStyle w:val="Hyperlink"/>
            <w:shd w:val="clear" w:color="auto" w:fill="auto"/>
          </w:rPr>
          <w:t>https://doi.org/10.1093/oso/9780190095888.003.0016</w:t>
        </w:r>
      </w:hyperlink>
      <w:r w:rsidR="00E7784B" w:rsidRPr="00C92BF9">
        <w:rPr>
          <w:shd w:val="clear" w:color="auto" w:fill="auto"/>
        </w:rPr>
        <w:t xml:space="preserve"> </w:t>
      </w:r>
    </w:p>
    <w:p w14:paraId="3C940FAE" w14:textId="77777777" w:rsidR="003925B6" w:rsidRPr="00C92BF9" w:rsidRDefault="00287B80" w:rsidP="007D734B">
      <w:pPr>
        <w:pStyle w:val="References"/>
        <w:rPr>
          <w:shd w:val="clear" w:color="auto" w:fill="auto"/>
        </w:rPr>
      </w:pPr>
      <w:r w:rsidRPr="00C92BF9">
        <w:rPr>
          <w:shd w:val="clear" w:color="auto" w:fill="auto"/>
          <w:lang w:eastAsia="en-GB"/>
        </w:rPr>
        <w:t xml:space="preserve">Chatterjee, A., Damodar, S.K., &amp; Hema, M.A. (2021). Influence of positive metacognitions and meta-emotions, and mindfulness on well-being. </w:t>
      </w:r>
      <w:r w:rsidRPr="00C92BF9">
        <w:rPr>
          <w:i/>
          <w:iCs/>
          <w:shd w:val="clear" w:color="auto" w:fill="auto"/>
          <w:lang w:eastAsia="en-GB"/>
        </w:rPr>
        <w:t>Indian Journal of Health and Well-being, 12</w:t>
      </w:r>
      <w:r w:rsidRPr="00C92BF9">
        <w:rPr>
          <w:shd w:val="clear" w:color="auto" w:fill="auto"/>
          <w:lang w:eastAsia="en-GB"/>
        </w:rPr>
        <w:t>(1), 51-56.</w:t>
      </w:r>
      <w:r w:rsidR="003925B6" w:rsidRPr="00C92BF9">
        <w:rPr>
          <w:shd w:val="clear" w:color="auto" w:fill="auto"/>
          <w:lang w:eastAsia="en-GB"/>
        </w:rPr>
        <w:t xml:space="preserve"> </w:t>
      </w:r>
      <w:r w:rsidR="003925B6" w:rsidRPr="00C92BF9">
        <w:rPr>
          <w:shd w:val="clear" w:color="auto" w:fill="auto"/>
        </w:rPr>
        <w:t xml:space="preserve">. </w:t>
      </w:r>
      <w:hyperlink r:id="rId23" w:history="1">
        <w:r w:rsidR="003925B6" w:rsidRPr="00C92BF9">
          <w:rPr>
            <w:rStyle w:val="Hyperlink"/>
            <w:shd w:val="clear" w:color="auto" w:fill="auto"/>
          </w:rPr>
          <w:t>https://iahrw.org/our-services/journals/indian-journal-of-health-wellbeing/</w:t>
        </w:r>
      </w:hyperlink>
      <w:r w:rsidR="003925B6" w:rsidRPr="00C92BF9">
        <w:rPr>
          <w:shd w:val="clear" w:color="auto" w:fill="auto"/>
        </w:rPr>
        <w:t xml:space="preserve"> </w:t>
      </w:r>
    </w:p>
    <w:p w14:paraId="015CD699" w14:textId="220F96E8" w:rsidR="009277E2" w:rsidRPr="00B00B5E" w:rsidRDefault="009277E2" w:rsidP="009277E2">
      <w:pPr>
        <w:pStyle w:val="References"/>
      </w:pPr>
      <w:r w:rsidRPr="00B00B5E">
        <w:t>Co</w:t>
      </w:r>
      <w:r>
        <w:t>s</w:t>
      </w:r>
      <w:r w:rsidRPr="00B00B5E">
        <w:t>kun, Y. D., Garipa</w:t>
      </w:r>
      <w:r>
        <w:t>g</w:t>
      </w:r>
      <w:r w:rsidRPr="00B00B5E">
        <w:t>ao</w:t>
      </w:r>
      <w:r>
        <w:t>g</w:t>
      </w:r>
      <w:r w:rsidRPr="00B00B5E">
        <w:t xml:space="preserve">lu, </w:t>
      </w:r>
      <w:r>
        <w:t>C</w:t>
      </w:r>
      <w:r w:rsidRPr="00B00B5E">
        <w:t xml:space="preserve">., &amp; Tosun, </w:t>
      </w:r>
      <w:r>
        <w:t>U</w:t>
      </w:r>
      <w:r w:rsidRPr="00B00B5E">
        <w:t xml:space="preserve">. </w:t>
      </w:r>
      <w:r>
        <w:t>(</w:t>
      </w:r>
      <w:r w:rsidRPr="00B00B5E">
        <w:t>2014</w:t>
      </w:r>
      <w:r>
        <w:t>)</w:t>
      </w:r>
      <w:r w:rsidRPr="00B00B5E">
        <w:t>. Analysis of the relationship between the resiliency level and problem</w:t>
      </w:r>
      <w:r>
        <w:t>-</w:t>
      </w:r>
      <w:r w:rsidRPr="00B00B5E">
        <w:t>solving skills of university students. </w:t>
      </w:r>
      <w:r w:rsidRPr="00B00B5E">
        <w:rPr>
          <w:i/>
          <w:iCs/>
        </w:rPr>
        <w:t>Procedia-Social and Behavioral Sciences</w:t>
      </w:r>
      <w:r w:rsidRPr="00B00B5E">
        <w:t>, </w:t>
      </w:r>
      <w:r w:rsidRPr="00B00B5E">
        <w:rPr>
          <w:i/>
          <w:iCs/>
        </w:rPr>
        <w:t>114</w:t>
      </w:r>
      <w:r w:rsidR="00543233">
        <w:t>(1)</w:t>
      </w:r>
      <w:r w:rsidRPr="00B00B5E">
        <w:t>, 673-680.</w:t>
      </w:r>
      <w:r>
        <w:t xml:space="preserve"> </w:t>
      </w:r>
      <w:hyperlink r:id="rId24" w:tgtFrame="_blank" w:tooltip="Persistent link using digital object identifier" w:history="1">
        <w:r w:rsidRPr="00B00B5E">
          <w:rPr>
            <w:rStyle w:val="anchor-text"/>
            <w:rFonts w:cs="Arial"/>
            <w:color w:val="0000FF"/>
          </w:rPr>
          <w:t>https://doi.org/10.1016/j.sbspro.2013.12.766</w:t>
        </w:r>
      </w:hyperlink>
    </w:p>
    <w:p w14:paraId="247F3159" w14:textId="5D568801" w:rsidR="00160F1B" w:rsidRPr="00C92BF9" w:rsidRDefault="00160F1B" w:rsidP="007D734B">
      <w:pPr>
        <w:pStyle w:val="References"/>
        <w:rPr>
          <w:shd w:val="clear" w:color="auto" w:fill="auto"/>
          <w:lang w:val="en-MT"/>
        </w:rPr>
      </w:pPr>
      <w:r w:rsidRPr="00C92BF9">
        <w:rPr>
          <w:shd w:val="clear" w:color="auto" w:fill="auto"/>
        </w:rPr>
        <w:t xml:space="preserve">Creswell, J.W., &amp; Poth, C.N. (2018). </w:t>
      </w:r>
      <w:r w:rsidRPr="00C92BF9">
        <w:rPr>
          <w:rStyle w:val="Emphasis"/>
          <w:shd w:val="clear" w:color="auto" w:fill="auto"/>
        </w:rPr>
        <w:t>Qualitative Inquiry and Research Design: Choosing Among Five Approaches</w:t>
      </w:r>
      <w:r w:rsidRPr="00C92BF9">
        <w:rPr>
          <w:shd w:val="clear" w:color="auto" w:fill="auto"/>
        </w:rPr>
        <w:t xml:space="preserve"> (4th ed.). SAGE Publications. </w:t>
      </w:r>
      <w:hyperlink r:id="rId25" w:history="1">
        <w:r w:rsidRPr="00C92BF9">
          <w:rPr>
            <w:rStyle w:val="Hyperlink"/>
            <w:shd w:val="clear" w:color="auto" w:fill="auto"/>
          </w:rPr>
          <w:t>https://pubhtml5.com/enuk/cykh/Creswell_and_Poth%2C_2018%2C_Qualitative_Inquiry_4th/</w:t>
        </w:r>
      </w:hyperlink>
      <w:r w:rsidRPr="00C92BF9">
        <w:rPr>
          <w:shd w:val="clear" w:color="auto" w:fill="auto"/>
        </w:rPr>
        <w:t xml:space="preserve"> </w:t>
      </w:r>
    </w:p>
    <w:p w14:paraId="797D3CCC" w14:textId="5E0F4902" w:rsidR="007F0DA7" w:rsidRPr="00C92BF9" w:rsidRDefault="007F0DA7" w:rsidP="007D734B">
      <w:pPr>
        <w:pStyle w:val="References"/>
        <w:rPr>
          <w:shd w:val="clear" w:color="auto" w:fill="auto"/>
        </w:rPr>
      </w:pPr>
      <w:r w:rsidRPr="00C92BF9">
        <w:rPr>
          <w:shd w:val="clear" w:color="auto" w:fill="auto"/>
        </w:rPr>
        <w:t xml:space="preserve">Dejonckheere, M. &amp; Vaughn, L.M. (2019). Semi-structured interviewing in primary care research: A balance of relationship and rigour. </w:t>
      </w:r>
      <w:r w:rsidRPr="00C92BF9">
        <w:rPr>
          <w:i/>
          <w:iCs/>
          <w:shd w:val="clear" w:color="auto" w:fill="auto"/>
        </w:rPr>
        <w:t>Family Medicine Community Health, 51</w:t>
      </w:r>
      <w:r w:rsidRPr="00C92BF9">
        <w:rPr>
          <w:shd w:val="clear" w:color="auto" w:fill="auto"/>
        </w:rPr>
        <w:t xml:space="preserve">(9), 740-745. </w:t>
      </w:r>
      <w:hyperlink r:id="rId26" w:history="1">
        <w:r w:rsidRPr="00C92BF9">
          <w:rPr>
            <w:rStyle w:val="Hyperlink"/>
            <w:shd w:val="clear" w:color="auto" w:fill="auto"/>
          </w:rPr>
          <w:t>https://www.doi.org/10.1136/fmch-2018-000057</w:t>
        </w:r>
      </w:hyperlink>
      <w:r w:rsidRPr="00C92BF9">
        <w:rPr>
          <w:color w:val="1B1B1B"/>
          <w:shd w:val="clear" w:color="auto" w:fill="auto"/>
        </w:rPr>
        <w:t xml:space="preserve">  </w:t>
      </w:r>
      <w:r w:rsidRPr="00C92BF9">
        <w:rPr>
          <w:shd w:val="clear" w:color="auto" w:fill="auto"/>
        </w:rPr>
        <w:t xml:space="preserve"> </w:t>
      </w:r>
    </w:p>
    <w:p w14:paraId="4D11463F" w14:textId="434E38FC" w:rsidR="00E50049" w:rsidRPr="00C92BF9" w:rsidRDefault="00A55426" w:rsidP="007D734B">
      <w:pPr>
        <w:pStyle w:val="References"/>
        <w:rPr>
          <w:shd w:val="clear" w:color="auto" w:fill="auto"/>
        </w:rPr>
      </w:pPr>
      <w:r w:rsidRPr="00C92BF9">
        <w:rPr>
          <w:shd w:val="clear" w:color="auto" w:fill="auto"/>
        </w:rPr>
        <w:t>Denicolo, P., Long, T., &amp; Bradley-Cole, K.</w:t>
      </w:r>
      <w:r w:rsidR="00E50049" w:rsidRPr="00C92BF9">
        <w:rPr>
          <w:shd w:val="clear" w:color="auto" w:fill="auto"/>
        </w:rPr>
        <w:t xml:space="preserve"> </w:t>
      </w:r>
      <w:r w:rsidRPr="00C92BF9">
        <w:rPr>
          <w:shd w:val="clear" w:color="auto" w:fill="auto"/>
        </w:rPr>
        <w:t>(</w:t>
      </w:r>
      <w:r w:rsidR="00E50049" w:rsidRPr="00C92BF9">
        <w:rPr>
          <w:shd w:val="clear" w:color="auto" w:fill="auto"/>
        </w:rPr>
        <w:t>2016</w:t>
      </w:r>
      <w:r w:rsidRPr="00C92BF9">
        <w:rPr>
          <w:shd w:val="clear" w:color="auto" w:fill="auto"/>
        </w:rPr>
        <w:t>)</w:t>
      </w:r>
      <w:r w:rsidR="00E50049" w:rsidRPr="00C92BF9">
        <w:rPr>
          <w:shd w:val="clear" w:color="auto" w:fill="auto"/>
        </w:rPr>
        <w:t xml:space="preserve">. </w:t>
      </w:r>
      <w:r w:rsidR="00E50049" w:rsidRPr="00C92BF9">
        <w:rPr>
          <w:i/>
          <w:iCs/>
          <w:shd w:val="clear" w:color="auto" w:fill="auto"/>
        </w:rPr>
        <w:t>Constructivist approaches and research methods: A practical guide to exploring personal meanings.</w:t>
      </w:r>
      <w:r w:rsidR="00E50049" w:rsidRPr="00C92BF9">
        <w:rPr>
          <w:shd w:val="clear" w:color="auto" w:fill="auto"/>
        </w:rPr>
        <w:t xml:space="preserve"> SAGE Publications Ltd. </w:t>
      </w:r>
      <w:hyperlink r:id="rId27" w:history="1">
        <w:r w:rsidR="00E50049" w:rsidRPr="00C92BF9">
          <w:rPr>
            <w:rStyle w:val="Hyperlink"/>
            <w:shd w:val="clear" w:color="auto" w:fill="auto"/>
          </w:rPr>
          <w:t>https://doi.org/10.4135/9781526402660</w:t>
        </w:r>
      </w:hyperlink>
      <w:r w:rsidR="00E50049" w:rsidRPr="00C92BF9">
        <w:rPr>
          <w:shd w:val="clear" w:color="auto" w:fill="auto"/>
        </w:rPr>
        <w:t xml:space="preserve"> </w:t>
      </w:r>
    </w:p>
    <w:p w14:paraId="24EF099C" w14:textId="33CA4AE0" w:rsidR="004B45CB" w:rsidRPr="00C92BF9" w:rsidRDefault="004B45CB" w:rsidP="007D734B">
      <w:pPr>
        <w:pStyle w:val="References"/>
        <w:rPr>
          <w:shd w:val="clear" w:color="auto" w:fill="auto"/>
        </w:rPr>
      </w:pPr>
      <w:r w:rsidRPr="00C92BF9">
        <w:rPr>
          <w:shd w:val="clear" w:color="auto" w:fill="auto"/>
        </w:rPr>
        <w:t>Diab, A., &amp; Green, E. (2024). Cultivating resilience and success: Support systems for novice teachers in diverse contexts. </w:t>
      </w:r>
      <w:r w:rsidRPr="00C92BF9">
        <w:rPr>
          <w:i/>
          <w:iCs/>
          <w:shd w:val="clear" w:color="auto" w:fill="auto"/>
        </w:rPr>
        <w:t>Education Sciences</w:t>
      </w:r>
      <w:r w:rsidRPr="00C92BF9">
        <w:rPr>
          <w:shd w:val="clear" w:color="auto" w:fill="auto"/>
        </w:rPr>
        <w:t>, </w:t>
      </w:r>
      <w:r w:rsidRPr="00C92BF9">
        <w:rPr>
          <w:i/>
          <w:iCs/>
          <w:shd w:val="clear" w:color="auto" w:fill="auto"/>
        </w:rPr>
        <w:t>14</w:t>
      </w:r>
      <w:r w:rsidRPr="00C92BF9">
        <w:rPr>
          <w:shd w:val="clear" w:color="auto" w:fill="auto"/>
        </w:rPr>
        <w:t>(7), 711.</w:t>
      </w:r>
      <w:r w:rsidR="007B0756" w:rsidRPr="00C92BF9">
        <w:rPr>
          <w:shd w:val="clear" w:color="auto" w:fill="auto"/>
        </w:rPr>
        <w:t xml:space="preserve"> </w:t>
      </w:r>
      <w:hyperlink r:id="rId28" w:history="1">
        <w:r w:rsidR="007B0756" w:rsidRPr="00C92BF9">
          <w:rPr>
            <w:rStyle w:val="Hyperlink"/>
            <w:color w:val="000000" w:themeColor="text1"/>
            <w:shd w:val="clear" w:color="auto" w:fill="auto"/>
          </w:rPr>
          <w:t>https://doi.org/10.3390/educsci14070711</w:t>
        </w:r>
      </w:hyperlink>
      <w:r w:rsidR="007B0756" w:rsidRPr="00C92BF9">
        <w:rPr>
          <w:shd w:val="clear" w:color="auto" w:fill="auto"/>
        </w:rPr>
        <w:t xml:space="preserve"> </w:t>
      </w:r>
    </w:p>
    <w:p w14:paraId="337457DC" w14:textId="600E7017" w:rsidR="00E74DDA" w:rsidRPr="00C92BF9" w:rsidRDefault="00E74DDA" w:rsidP="007D734B">
      <w:pPr>
        <w:pStyle w:val="References"/>
        <w:rPr>
          <w:rFonts w:cs="Segoe UI"/>
          <w:sz w:val="36"/>
          <w:szCs w:val="36"/>
          <w:shd w:val="clear" w:color="auto" w:fill="auto"/>
        </w:rPr>
      </w:pPr>
      <w:r w:rsidRPr="00C92BF9">
        <w:rPr>
          <w:shd w:val="clear" w:color="auto" w:fill="auto"/>
        </w:rPr>
        <w:t xml:space="preserve">Dobson, K., Riggin, A., Heintz, M., Nordstokke, D., Szeto, A., &amp; Thannhauser, J. (2023). Post-secondary student perspectives about how to support student resilience. </w:t>
      </w:r>
      <w:r w:rsidRPr="00C92BF9">
        <w:rPr>
          <w:i/>
          <w:iCs/>
          <w:shd w:val="clear" w:color="auto" w:fill="auto"/>
        </w:rPr>
        <w:t>Cogent Mental Health, 2</w:t>
      </w:r>
      <w:r w:rsidRPr="00C92BF9">
        <w:rPr>
          <w:shd w:val="clear" w:color="auto" w:fill="auto"/>
        </w:rPr>
        <w:t xml:space="preserve">(1), 1-20. </w:t>
      </w:r>
      <w:hyperlink r:id="rId29" w:history="1">
        <w:r w:rsidRPr="00C92BF9">
          <w:rPr>
            <w:rStyle w:val="Hyperlink"/>
            <w:shd w:val="clear" w:color="auto" w:fill="auto"/>
          </w:rPr>
          <w:t>https://doi.org/10.1080/28324765.2023.2292687</w:t>
        </w:r>
      </w:hyperlink>
      <w:r w:rsidRPr="00C92BF9">
        <w:rPr>
          <w:shd w:val="clear" w:color="auto" w:fill="auto"/>
        </w:rPr>
        <w:t xml:space="preserve"> </w:t>
      </w:r>
    </w:p>
    <w:p w14:paraId="5749276E" w14:textId="483F336C" w:rsidR="00287B80" w:rsidRPr="00C92BF9" w:rsidRDefault="00287B80" w:rsidP="007D734B">
      <w:pPr>
        <w:pStyle w:val="References"/>
        <w:rPr>
          <w:shd w:val="clear" w:color="auto" w:fill="auto"/>
          <w:lang w:eastAsia="en-GB"/>
        </w:rPr>
      </w:pPr>
      <w:r w:rsidRPr="00C92BF9">
        <w:rPr>
          <w:shd w:val="clear" w:color="auto" w:fill="auto"/>
          <w:lang w:eastAsia="en-GB"/>
        </w:rPr>
        <w:t xml:space="preserve">Drigas, A., &amp; Mitsea, E. (2020). The 8 pillars of metacognition. </w:t>
      </w:r>
      <w:r w:rsidRPr="00C92BF9">
        <w:rPr>
          <w:i/>
          <w:iCs/>
          <w:shd w:val="clear" w:color="auto" w:fill="auto"/>
          <w:lang w:eastAsia="en-GB"/>
        </w:rPr>
        <w:t>International Journal of Emerging Technologies in Learning (iJET), 15</w:t>
      </w:r>
      <w:r w:rsidRPr="00C92BF9">
        <w:rPr>
          <w:shd w:val="clear" w:color="auto" w:fill="auto"/>
          <w:lang w:eastAsia="en-GB"/>
        </w:rPr>
        <w:t xml:space="preserve">(21), 162–178. </w:t>
      </w:r>
      <w:hyperlink r:id="rId30" w:tgtFrame="_new" w:history="1">
        <w:r w:rsidRPr="00C92BF9">
          <w:rPr>
            <w:color w:val="0000FF"/>
            <w:u w:val="single"/>
            <w:shd w:val="clear" w:color="auto" w:fill="auto"/>
            <w:lang w:eastAsia="en-GB"/>
          </w:rPr>
          <w:t>https://doi.org/10.3991/ijet.v15i21.14907</w:t>
        </w:r>
      </w:hyperlink>
    </w:p>
    <w:p w14:paraId="2C7A9E66" w14:textId="7E709FB8" w:rsidR="00287B80" w:rsidRPr="00C92BF9" w:rsidRDefault="00287B80" w:rsidP="007D734B">
      <w:pPr>
        <w:pStyle w:val="References"/>
        <w:rPr>
          <w:shd w:val="clear" w:color="auto" w:fill="auto"/>
          <w:lang w:eastAsia="en-GB"/>
        </w:rPr>
      </w:pPr>
      <w:r w:rsidRPr="00C92BF9">
        <w:rPr>
          <w:shd w:val="clear" w:color="auto" w:fill="auto"/>
          <w:lang w:eastAsia="en-GB"/>
        </w:rPr>
        <w:t>Durlak, J. A., Weissberg, R. P., Dymnicki, A. B., Taylor, R. D., &amp; Schellinger, K. B. (2011). The impact of enhancing students’ social and emotional learning: A meta</w:t>
      </w:r>
      <w:r w:rsidRPr="00C92BF9">
        <w:rPr>
          <w:rFonts w:ascii="Cambria Math" w:hAnsi="Cambria Math" w:cs="Cambria Math"/>
          <w:shd w:val="clear" w:color="auto" w:fill="auto"/>
          <w:lang w:eastAsia="en-GB"/>
        </w:rPr>
        <w:t>‐</w:t>
      </w:r>
      <w:r w:rsidRPr="00C92BF9">
        <w:rPr>
          <w:shd w:val="clear" w:color="auto" w:fill="auto"/>
          <w:lang w:eastAsia="en-GB"/>
        </w:rPr>
        <w:t>analysis of school</w:t>
      </w:r>
      <w:r w:rsidRPr="00C92BF9">
        <w:rPr>
          <w:rFonts w:ascii="Cambria Math" w:hAnsi="Cambria Math" w:cs="Cambria Math"/>
          <w:shd w:val="clear" w:color="auto" w:fill="auto"/>
          <w:lang w:eastAsia="en-GB"/>
        </w:rPr>
        <w:t>‐</w:t>
      </w:r>
      <w:r w:rsidRPr="00C92BF9">
        <w:rPr>
          <w:shd w:val="clear" w:color="auto" w:fill="auto"/>
          <w:lang w:eastAsia="en-GB"/>
        </w:rPr>
        <w:t xml:space="preserve">based universal interventions. </w:t>
      </w:r>
      <w:r w:rsidRPr="00C92BF9">
        <w:rPr>
          <w:i/>
          <w:iCs/>
          <w:shd w:val="clear" w:color="auto" w:fill="auto"/>
          <w:lang w:eastAsia="en-GB"/>
        </w:rPr>
        <w:t>Child Development, 82</w:t>
      </w:r>
      <w:r w:rsidRPr="00C92BF9">
        <w:rPr>
          <w:shd w:val="clear" w:color="auto" w:fill="auto"/>
          <w:lang w:eastAsia="en-GB"/>
        </w:rPr>
        <w:t xml:space="preserve">(1), 405-432. </w:t>
      </w:r>
      <w:hyperlink r:id="rId31" w:history="1">
        <w:r w:rsidR="00355A2B" w:rsidRPr="00C92BF9">
          <w:rPr>
            <w:rStyle w:val="Hyperlink"/>
            <w:shd w:val="clear" w:color="auto" w:fill="auto"/>
            <w:lang w:val="en-GB" w:eastAsia="en-GB"/>
            <w14:ligatures w14:val="none"/>
          </w:rPr>
          <w:t>https://doi.org/10.1111/j.1467-8624.2010.01564.x</w:t>
        </w:r>
      </w:hyperlink>
      <w:r w:rsidR="00355A2B" w:rsidRPr="00C92BF9">
        <w:rPr>
          <w:shd w:val="clear" w:color="auto" w:fill="auto"/>
          <w:lang w:eastAsia="en-GB"/>
        </w:rPr>
        <w:t xml:space="preserve"> </w:t>
      </w:r>
    </w:p>
    <w:p w14:paraId="1A0A3BCB" w14:textId="48E319FF" w:rsidR="00DE7EEF" w:rsidRDefault="00DE7EEF" w:rsidP="007D734B">
      <w:pPr>
        <w:pStyle w:val="References"/>
        <w:rPr>
          <w:shd w:val="clear" w:color="auto" w:fill="auto"/>
          <w:lang w:eastAsia="en-GB"/>
        </w:rPr>
      </w:pPr>
      <w:r>
        <w:t xml:space="preserve">Dweck, C. S. (2014). Teachers' mindsets: "Every student has something to teach me." </w:t>
      </w:r>
      <w:r>
        <w:rPr>
          <w:rStyle w:val="Emphasis"/>
        </w:rPr>
        <w:t>Educational Horizons, 93</w:t>
      </w:r>
      <w:r>
        <w:t xml:space="preserve">(2), 10–14. </w:t>
      </w:r>
      <w:hyperlink r:id="rId32" w:history="1">
        <w:r w:rsidR="00177ABB" w:rsidRPr="00F216A4">
          <w:rPr>
            <w:rStyle w:val="Hyperlink"/>
          </w:rPr>
          <w:t>https://doi.org/10.1177/0013175X14561420</w:t>
        </w:r>
      </w:hyperlink>
      <w:r w:rsidR="00177ABB">
        <w:t xml:space="preserve"> </w:t>
      </w:r>
    </w:p>
    <w:p w14:paraId="771B770F" w14:textId="104E5CEF" w:rsidR="00287B80" w:rsidRPr="00C92BF9" w:rsidRDefault="00287B80" w:rsidP="007D734B">
      <w:pPr>
        <w:pStyle w:val="References"/>
        <w:rPr>
          <w:shd w:val="clear" w:color="auto" w:fill="auto"/>
          <w:lang w:eastAsia="en-GB"/>
        </w:rPr>
      </w:pPr>
      <w:r w:rsidRPr="00C92BF9">
        <w:rPr>
          <w:shd w:val="clear" w:color="auto" w:fill="auto"/>
          <w:lang w:eastAsia="en-GB"/>
        </w:rPr>
        <w:t xml:space="preserve">Dweck, C. </w:t>
      </w:r>
      <w:r w:rsidR="00177ABB">
        <w:rPr>
          <w:shd w:val="clear" w:color="auto" w:fill="auto"/>
          <w:lang w:eastAsia="en-GB"/>
        </w:rPr>
        <w:t xml:space="preserve">S. </w:t>
      </w:r>
      <w:r w:rsidRPr="00C92BF9">
        <w:rPr>
          <w:shd w:val="clear" w:color="auto" w:fill="auto"/>
          <w:lang w:eastAsia="en-GB"/>
        </w:rPr>
        <w:t>(2016). Mindset: The new psychology of success. Ballantine Books.</w:t>
      </w:r>
    </w:p>
    <w:p w14:paraId="73B369A4" w14:textId="596DB3FE" w:rsidR="00287B80" w:rsidRPr="00C92BF9" w:rsidRDefault="00287B80" w:rsidP="007D734B">
      <w:pPr>
        <w:pStyle w:val="References"/>
        <w:rPr>
          <w:shd w:val="clear" w:color="auto" w:fill="auto"/>
          <w:lang w:eastAsia="en-GB"/>
        </w:rPr>
      </w:pPr>
      <w:r w:rsidRPr="00C92BF9">
        <w:rPr>
          <w:shd w:val="clear" w:color="auto" w:fill="auto"/>
          <w:lang w:eastAsia="en-GB"/>
        </w:rPr>
        <w:t xml:space="preserve">Ebejer Grech, J. (2024). A Case Study of Students’ Wellbeing in a Post-Secondary School in Malta. </w:t>
      </w:r>
      <w:r w:rsidRPr="00C92BF9">
        <w:rPr>
          <w:i/>
          <w:iCs/>
          <w:shd w:val="clear" w:color="auto" w:fill="auto"/>
          <w:lang w:eastAsia="en-GB"/>
        </w:rPr>
        <w:t>International Journal of Research Publication and Reviews, 5</w:t>
      </w:r>
      <w:r w:rsidRPr="00C92BF9">
        <w:rPr>
          <w:shd w:val="clear" w:color="auto" w:fill="auto"/>
          <w:lang w:eastAsia="en-GB"/>
        </w:rPr>
        <w:t xml:space="preserve">(12), 310-316. </w:t>
      </w:r>
      <w:hyperlink r:id="rId33" w:tgtFrame="_new" w:history="1">
        <w:r w:rsidRPr="00C92BF9">
          <w:rPr>
            <w:color w:val="0000FF"/>
            <w:u w:val="single"/>
            <w:shd w:val="clear" w:color="auto" w:fill="auto"/>
            <w:lang w:eastAsia="en-GB"/>
          </w:rPr>
          <w:t>https://doi.org/10.55248/gengpi.5.1224.3568</w:t>
        </w:r>
      </w:hyperlink>
    </w:p>
    <w:p w14:paraId="1BAE27A3" w14:textId="40B4EA91" w:rsidR="00F31BBE" w:rsidRPr="00C92BF9" w:rsidRDefault="00F31BBE" w:rsidP="007D734B">
      <w:pPr>
        <w:pStyle w:val="References"/>
        <w:rPr>
          <w:shd w:val="clear" w:color="auto" w:fill="auto"/>
        </w:rPr>
      </w:pPr>
      <w:r w:rsidRPr="00C92BF9">
        <w:rPr>
          <w:shd w:val="clear" w:color="auto" w:fill="auto"/>
        </w:rPr>
        <w:t xml:space="preserve">Ellestad, R. </w:t>
      </w:r>
      <w:r w:rsidR="000F5857">
        <w:rPr>
          <w:shd w:val="clear" w:color="auto" w:fill="auto"/>
        </w:rPr>
        <w:t>(</w:t>
      </w:r>
      <w:r w:rsidRPr="00C92BF9">
        <w:rPr>
          <w:shd w:val="clear" w:color="auto" w:fill="auto"/>
        </w:rPr>
        <w:t>2014</w:t>
      </w:r>
      <w:r w:rsidR="000F5857">
        <w:rPr>
          <w:shd w:val="clear" w:color="auto" w:fill="auto"/>
        </w:rPr>
        <w:t>)</w:t>
      </w:r>
      <w:r w:rsidRPr="00C92BF9">
        <w:rPr>
          <w:shd w:val="clear" w:color="auto" w:fill="auto"/>
        </w:rPr>
        <w:t xml:space="preserve">. Thinking About Thinking in Study Groups: Studying Engineering Students' Use of Metacognition in Naturalistic Settings. </w:t>
      </w:r>
      <w:r w:rsidRPr="00C92BF9">
        <w:rPr>
          <w:i/>
          <w:iCs/>
          <w:shd w:val="clear" w:color="auto" w:fill="auto"/>
        </w:rPr>
        <w:t>ResearchGate.</w:t>
      </w:r>
      <w:r w:rsidRPr="00C92BF9">
        <w:rPr>
          <w:shd w:val="clear" w:color="auto" w:fill="auto"/>
        </w:rPr>
        <w:t xml:space="preserve"> </w:t>
      </w:r>
      <w:hyperlink r:id="rId34" w:history="1">
        <w:r w:rsidRPr="00C92BF9">
          <w:rPr>
            <w:rStyle w:val="Hyperlink"/>
            <w:shd w:val="clear" w:color="auto" w:fill="auto"/>
          </w:rPr>
          <w:t>https://www.doi.org/10.13140/RG.2.2.27077.14567</w:t>
        </w:r>
      </w:hyperlink>
      <w:r w:rsidRPr="00C92BF9">
        <w:rPr>
          <w:shd w:val="clear" w:color="auto" w:fill="auto"/>
        </w:rPr>
        <w:t xml:space="preserve"> </w:t>
      </w:r>
    </w:p>
    <w:p w14:paraId="015F7EC1" w14:textId="0CC961EE" w:rsidR="000F5857" w:rsidRDefault="000F5857" w:rsidP="007D734B">
      <w:pPr>
        <w:pStyle w:val="References"/>
        <w:rPr>
          <w:rStyle w:val="Strong"/>
          <w:b w:val="0"/>
          <w:bCs w:val="0"/>
          <w:shd w:val="clear" w:color="auto" w:fill="auto"/>
        </w:rPr>
      </w:pPr>
      <w:r w:rsidRPr="000F5857">
        <w:rPr>
          <w:shd w:val="clear" w:color="auto" w:fill="auto"/>
          <w:lang w:val="en-MT"/>
        </w:rPr>
        <w:t>European Commission. (</w:t>
      </w:r>
      <w:r>
        <w:rPr>
          <w:shd w:val="clear" w:color="auto" w:fill="auto"/>
          <w:lang w:val="en-MT"/>
        </w:rPr>
        <w:t>2025</w:t>
      </w:r>
      <w:r w:rsidRPr="000F5857">
        <w:rPr>
          <w:shd w:val="clear" w:color="auto" w:fill="auto"/>
          <w:lang w:val="en-MT"/>
        </w:rPr>
        <w:t xml:space="preserve">). </w:t>
      </w:r>
      <w:r w:rsidRPr="000F5857">
        <w:rPr>
          <w:i/>
          <w:iCs/>
          <w:shd w:val="clear" w:color="auto" w:fill="auto"/>
          <w:lang w:val="en-MT"/>
        </w:rPr>
        <w:t>Initial education for academic staff (higher education) – Malta</w:t>
      </w:r>
      <w:r w:rsidRPr="000F5857">
        <w:rPr>
          <w:shd w:val="clear" w:color="auto" w:fill="auto"/>
          <w:lang w:val="en-MT"/>
        </w:rPr>
        <w:t xml:space="preserve">. Eurydice. Retrieved March 15, 2025, from </w:t>
      </w:r>
      <w:hyperlink r:id="rId35" w:tgtFrame="_new" w:history="1">
        <w:r w:rsidRPr="000F5857">
          <w:rPr>
            <w:rStyle w:val="Hyperlink"/>
            <w:shd w:val="clear" w:color="auto" w:fill="auto"/>
            <w:lang w:val="en-MT"/>
          </w:rPr>
          <w:t>https://eurydice.eacea.ec.europa.eu/national-education-systems/malta/initial-education-academic-staff-higher-education</w:t>
        </w:r>
      </w:hyperlink>
    </w:p>
    <w:p w14:paraId="68EC2D11" w14:textId="3CCF8CF6" w:rsidR="00BE3BB9" w:rsidRPr="00C92BF9" w:rsidRDefault="00BE3BB9" w:rsidP="007D734B">
      <w:pPr>
        <w:pStyle w:val="References"/>
        <w:rPr>
          <w:rStyle w:val="ReferencesChar"/>
          <w:shd w:val="clear" w:color="auto" w:fill="auto"/>
        </w:rPr>
      </w:pPr>
      <w:r w:rsidRPr="00C92BF9">
        <w:rPr>
          <w:rStyle w:val="Strong"/>
          <w:b w:val="0"/>
          <w:bCs w:val="0"/>
          <w:shd w:val="clear" w:color="auto" w:fill="auto"/>
        </w:rPr>
        <w:lastRenderedPageBreak/>
        <w:t>European Parliament and Council.</w:t>
      </w:r>
      <w:r w:rsidRPr="00C92BF9">
        <w:rPr>
          <w:shd w:val="clear" w:color="auto" w:fill="auto"/>
        </w:rPr>
        <w:t xml:space="preserve"> (2018). </w:t>
      </w:r>
      <w:r w:rsidRPr="00C92BF9">
        <w:rPr>
          <w:rStyle w:val="Emphasis"/>
          <w:shd w:val="clear" w:color="auto" w:fill="auto"/>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sidRPr="00C92BF9">
        <w:rPr>
          <w:shd w:val="clear" w:color="auto" w:fill="auto"/>
        </w:rPr>
        <w:t xml:space="preserve"> Official Journal of the European Union, L119, 1–88. </w:t>
      </w:r>
      <w:hyperlink r:id="rId36" w:tgtFrame="_new" w:history="1">
        <w:r w:rsidRPr="00C92BF9">
          <w:rPr>
            <w:rStyle w:val="Hyperlink"/>
            <w:shd w:val="clear" w:color="auto" w:fill="auto"/>
          </w:rPr>
          <w:t>https://eur-lex.europa.eu/eli/reg/2016/679/oj</w:t>
        </w:r>
      </w:hyperlink>
    </w:p>
    <w:p w14:paraId="6532BEB4" w14:textId="194192FB" w:rsidR="00F6343B" w:rsidRPr="00C92BF9" w:rsidRDefault="00F6343B" w:rsidP="007D734B">
      <w:pPr>
        <w:pStyle w:val="References"/>
        <w:rPr>
          <w:rStyle w:val="ReferencesChar"/>
          <w:shd w:val="clear" w:color="auto" w:fill="auto"/>
        </w:rPr>
      </w:pPr>
      <w:r w:rsidRPr="00C92BF9">
        <w:rPr>
          <w:shd w:val="clear" w:color="auto" w:fill="auto"/>
        </w:rPr>
        <w:t>Fatima, T., Bilal, A. R., Waqas, M., &amp; Imran, M. K. (2024). Keeping up with this workload is difficult: the ramifications of work overload on career resilience. </w:t>
      </w:r>
      <w:r w:rsidRPr="00C92BF9">
        <w:rPr>
          <w:i/>
          <w:iCs/>
          <w:shd w:val="clear" w:color="auto" w:fill="auto"/>
        </w:rPr>
        <w:t>Kybernetes</w:t>
      </w:r>
      <w:r w:rsidRPr="00C92BF9">
        <w:rPr>
          <w:shd w:val="clear" w:color="auto" w:fill="auto"/>
        </w:rPr>
        <w:t>, </w:t>
      </w:r>
      <w:r w:rsidRPr="00C92BF9">
        <w:rPr>
          <w:i/>
          <w:iCs/>
          <w:shd w:val="clear" w:color="auto" w:fill="auto"/>
        </w:rPr>
        <w:t>53</w:t>
      </w:r>
      <w:r w:rsidRPr="00C92BF9">
        <w:rPr>
          <w:shd w:val="clear" w:color="auto" w:fill="auto"/>
        </w:rPr>
        <w:t>(1), 188-215.</w:t>
      </w:r>
      <w:r w:rsidR="002837FC" w:rsidRPr="00C92BF9">
        <w:rPr>
          <w:shd w:val="clear" w:color="auto" w:fill="auto"/>
        </w:rPr>
        <w:t xml:space="preserve"> </w:t>
      </w:r>
      <w:hyperlink r:id="rId37" w:tooltip="DOI: https://doi.org/10.1108/K-01-2022-0063" w:history="1">
        <w:r w:rsidR="002837FC" w:rsidRPr="00C92BF9">
          <w:rPr>
            <w:rStyle w:val="Hyperlink"/>
            <w:color w:val="00292B"/>
            <w:shd w:val="clear" w:color="auto" w:fill="auto"/>
          </w:rPr>
          <w:t>https://doi.org/10.1108/K-01-2022-0063</w:t>
        </w:r>
      </w:hyperlink>
      <w:r w:rsidR="002837FC" w:rsidRPr="00C92BF9">
        <w:rPr>
          <w:shd w:val="clear" w:color="auto" w:fill="auto"/>
        </w:rPr>
        <w:t xml:space="preserve"> </w:t>
      </w:r>
    </w:p>
    <w:p w14:paraId="116116D8" w14:textId="75BCC086" w:rsidR="00291E6B" w:rsidRPr="00C92BF9" w:rsidRDefault="00291E6B" w:rsidP="007D734B">
      <w:pPr>
        <w:pStyle w:val="References"/>
        <w:rPr>
          <w:shd w:val="clear" w:color="auto" w:fill="auto"/>
        </w:rPr>
      </w:pPr>
      <w:r w:rsidRPr="00C92BF9">
        <w:rPr>
          <w:rStyle w:val="ReferencesChar"/>
          <w:shd w:val="clear" w:color="auto" w:fill="auto"/>
        </w:rPr>
        <w:t xml:space="preserve">Flavell, J. H. 1976. Metacognitive aspects of problem solving. In L. B. Resnick (Ed.), </w:t>
      </w:r>
      <w:r w:rsidRPr="00C92BF9">
        <w:rPr>
          <w:rStyle w:val="ReferencesChar"/>
          <w:i/>
          <w:iCs/>
          <w:shd w:val="clear" w:color="auto" w:fill="auto"/>
        </w:rPr>
        <w:t>The nature of intelligence</w:t>
      </w:r>
      <w:r w:rsidRPr="00C92BF9">
        <w:rPr>
          <w:shd w:val="clear" w:color="auto" w:fill="auto"/>
        </w:rPr>
        <w:t xml:space="preserve"> (pp. 231–235). Lawrence Erlbaum Associates.</w:t>
      </w:r>
    </w:p>
    <w:p w14:paraId="44E8A7B2" w14:textId="1BC08FE3" w:rsidR="00287B80" w:rsidRPr="00C92BF9" w:rsidRDefault="00287B80" w:rsidP="007D734B">
      <w:pPr>
        <w:pStyle w:val="References"/>
        <w:rPr>
          <w:shd w:val="clear" w:color="auto" w:fill="auto"/>
          <w:lang w:eastAsia="en-GB"/>
        </w:rPr>
      </w:pPr>
      <w:r w:rsidRPr="00C92BF9">
        <w:rPr>
          <w:shd w:val="clear" w:color="auto" w:fill="auto"/>
          <w:lang w:eastAsia="en-GB"/>
        </w:rPr>
        <w:t xml:space="preserve">Flavell, J. H. (1979). Metacognition and cognitive monitoring: A new area of cognitive–developmental inquiry. </w:t>
      </w:r>
      <w:r w:rsidRPr="00C92BF9">
        <w:rPr>
          <w:i/>
          <w:iCs/>
          <w:shd w:val="clear" w:color="auto" w:fill="auto"/>
          <w:lang w:eastAsia="en-GB"/>
        </w:rPr>
        <w:t>American Psychologist, 34</w:t>
      </w:r>
      <w:r w:rsidRPr="00C92BF9">
        <w:rPr>
          <w:shd w:val="clear" w:color="auto" w:fill="auto"/>
          <w:lang w:eastAsia="en-GB"/>
        </w:rPr>
        <w:t xml:space="preserve">(10), 906–911. </w:t>
      </w:r>
      <w:hyperlink r:id="rId38" w:tgtFrame="_new" w:history="1">
        <w:r w:rsidRPr="00C92BF9">
          <w:rPr>
            <w:color w:val="0000FF"/>
            <w:u w:val="single"/>
            <w:shd w:val="clear" w:color="auto" w:fill="auto"/>
            <w:lang w:eastAsia="en-GB"/>
          </w:rPr>
          <w:t>https://doi.org/10.1037/0003-066X.34.10.906</w:t>
        </w:r>
      </w:hyperlink>
    </w:p>
    <w:p w14:paraId="57DCC9E3" w14:textId="77777777" w:rsidR="009F5EE8" w:rsidRDefault="007D734B" w:rsidP="007D734B">
      <w:pPr>
        <w:pStyle w:val="References"/>
      </w:pPr>
      <w:r w:rsidRPr="007D734B">
        <w:t xml:space="preserve">Florentine, R. (2023). </w:t>
      </w:r>
      <w:r w:rsidRPr="00075A89">
        <w:rPr>
          <w:i/>
          <w:iCs/>
        </w:rPr>
        <w:t>The Relationship Between Academic Anxiety, Metacognition, and Academic Achievement</w:t>
      </w:r>
      <w:r w:rsidRPr="007D734B">
        <w:t>.</w:t>
      </w:r>
      <w:r w:rsidR="009F5EE8">
        <w:t xml:space="preserve"> </w:t>
      </w:r>
      <w:hyperlink r:id="rId39" w:history="1">
        <w:r w:rsidR="009F5EE8" w:rsidRPr="00DF310F">
          <w:rPr>
            <w:rStyle w:val="Hyperlink"/>
          </w:rPr>
          <w:t>https://shorturl.at/QzK0U</w:t>
        </w:r>
      </w:hyperlink>
      <w:r w:rsidR="009F5EE8">
        <w:t xml:space="preserve"> </w:t>
      </w:r>
    </w:p>
    <w:p w14:paraId="032643B2" w14:textId="6C176078" w:rsidR="00556C72" w:rsidRPr="00C92BF9" w:rsidRDefault="00556C72" w:rsidP="007D734B">
      <w:pPr>
        <w:pStyle w:val="References"/>
        <w:rPr>
          <w:shd w:val="clear" w:color="auto" w:fill="auto"/>
          <w:lang w:val="en-GB" w:eastAsia="en-GB"/>
          <w14:ligatures w14:val="none"/>
        </w:rPr>
      </w:pPr>
      <w:r w:rsidRPr="00C92BF9">
        <w:rPr>
          <w:shd w:val="clear" w:color="auto" w:fill="auto"/>
        </w:rPr>
        <w:t xml:space="preserve">Folkman, S., &amp; Moskowitz, J. T. (2004). Coping: Pitfalls and promise. </w:t>
      </w:r>
      <w:r w:rsidRPr="00C92BF9">
        <w:rPr>
          <w:rStyle w:val="Emphasis"/>
          <w:shd w:val="clear" w:color="auto" w:fill="auto"/>
        </w:rPr>
        <w:t>Annual Review of Psychology, 55</w:t>
      </w:r>
      <w:r w:rsidRPr="00C92BF9">
        <w:rPr>
          <w:shd w:val="clear" w:color="auto" w:fill="auto"/>
        </w:rPr>
        <w:t xml:space="preserve">, 745–774. </w:t>
      </w:r>
      <w:hyperlink r:id="rId40" w:history="1">
        <w:r w:rsidRPr="00C92BF9">
          <w:rPr>
            <w:rStyle w:val="Hyperlink"/>
            <w:shd w:val="clear" w:color="auto" w:fill="auto"/>
          </w:rPr>
          <w:t>https://doi.org/10.1146/annurev.psych.55.090902.141456</w:t>
        </w:r>
      </w:hyperlink>
      <w:r w:rsidRPr="00C92BF9">
        <w:rPr>
          <w:shd w:val="clear" w:color="auto" w:fill="auto"/>
        </w:rPr>
        <w:t xml:space="preserve"> </w:t>
      </w:r>
    </w:p>
    <w:p w14:paraId="52C1C8D7" w14:textId="02D689F4" w:rsidR="00CF1DC8" w:rsidRPr="009B18A9" w:rsidRDefault="00CF1DC8" w:rsidP="00693754">
      <w:pPr>
        <w:ind w:left="720" w:hanging="720"/>
        <w:rPr>
          <w:color w:val="111111"/>
          <w:shd w:val="clear" w:color="auto" w:fill="FFFFFF"/>
        </w:rPr>
      </w:pPr>
      <w:r w:rsidRPr="009B18A9">
        <w:rPr>
          <w:rFonts w:eastAsiaTheme="majorEastAsia"/>
          <w:color w:val="111111"/>
          <w:shd w:val="clear" w:color="auto" w:fill="FFFFFF"/>
        </w:rPr>
        <w:t>Gamble, B</w:t>
      </w:r>
      <w:r w:rsidRPr="00CF1DC8">
        <w:rPr>
          <w:rStyle w:val="ReferencesChar"/>
        </w:rPr>
        <w:t>. J</w:t>
      </w:r>
      <w:r w:rsidRPr="00693754">
        <w:rPr>
          <w:rStyle w:val="ReferencesChar"/>
        </w:rPr>
        <w:t xml:space="preserve">., &amp; Crouse, D. (2020). Resilient minds: Strategies to enhance student transitions from secondary to post-secondary education settings. </w:t>
      </w:r>
      <w:r w:rsidRPr="00693754">
        <w:rPr>
          <w:rStyle w:val="ReferencesChar"/>
          <w:i/>
          <w:iCs/>
        </w:rPr>
        <w:t>Journal of Military, Veteran and Family Health, 6</w:t>
      </w:r>
      <w:r w:rsidRPr="00693754">
        <w:rPr>
          <w:rStyle w:val="ReferencesChar"/>
        </w:rPr>
        <w:t xml:space="preserve">(3). </w:t>
      </w:r>
      <w:hyperlink r:id="rId41" w:history="1">
        <w:r w:rsidR="00693754" w:rsidRPr="00BB5FE5">
          <w:rPr>
            <w:rStyle w:val="Hyperlink"/>
            <w:rFonts w:eastAsiaTheme="majorEastAsia"/>
            <w:kern w:val="2"/>
            <w:lang w:val="mt-MT"/>
          </w:rPr>
          <w:t>https://doi</w:t>
        </w:r>
        <w:r w:rsidR="00693754" w:rsidRPr="00BB5FE5">
          <w:rPr>
            <w:rStyle w:val="Hyperlink"/>
            <w:shd w:val="clear" w:color="auto" w:fill="FFFFFF"/>
          </w:rPr>
          <w:t>.org/10.3138/jmvfh-2020-0051</w:t>
        </w:r>
      </w:hyperlink>
      <w:r w:rsidR="00693754">
        <w:rPr>
          <w:color w:val="111111"/>
          <w:shd w:val="clear" w:color="auto" w:fill="FFFFFF"/>
        </w:rPr>
        <w:t xml:space="preserve"> </w:t>
      </w:r>
    </w:p>
    <w:p w14:paraId="0A15FB07" w14:textId="1128A93F" w:rsidR="00E45A15" w:rsidRPr="00235944" w:rsidRDefault="00E45A15" w:rsidP="007D734B">
      <w:pPr>
        <w:pStyle w:val="References"/>
      </w:pPr>
      <w:r w:rsidRPr="00235944">
        <w:t>Goldberg, H. (2022). Growing brains, nurturing minds—neuroscience as an educational tool to support students’ development as life-long learners. </w:t>
      </w:r>
      <w:r w:rsidRPr="00235944">
        <w:rPr>
          <w:i/>
          <w:iCs/>
        </w:rPr>
        <w:t>Brain Sciences</w:t>
      </w:r>
      <w:r w:rsidRPr="00235944">
        <w:t>, </w:t>
      </w:r>
      <w:r w:rsidRPr="00235944">
        <w:rPr>
          <w:i/>
          <w:iCs/>
        </w:rPr>
        <w:t>12</w:t>
      </w:r>
      <w:r w:rsidRPr="00235944">
        <w:t xml:space="preserve">(12), 1622. </w:t>
      </w:r>
    </w:p>
    <w:p w14:paraId="084BE44F" w14:textId="65F1B866" w:rsidR="00E45A15" w:rsidRPr="00235944" w:rsidRDefault="00E45A15" w:rsidP="00E45A15">
      <w:pPr>
        <w:rPr>
          <w:lang w:val="mt-MT"/>
        </w:rPr>
      </w:pPr>
      <w:hyperlink r:id="rId42" w:history="1">
        <w:r w:rsidRPr="00235944">
          <w:rPr>
            <w:rStyle w:val="Hyperlink"/>
            <w:rFonts w:eastAsiaTheme="majorEastAsia"/>
            <w:color w:val="4F5671"/>
            <w:shd w:val="clear" w:color="auto" w:fill="FFFFFF"/>
          </w:rPr>
          <w:t>https://doi.org/10.3390/brainsci12121622</w:t>
        </w:r>
      </w:hyperlink>
      <w:r w:rsidR="00235944">
        <w:t xml:space="preserve"> </w:t>
      </w:r>
    </w:p>
    <w:p w14:paraId="2C763FE4" w14:textId="62FEB980" w:rsidR="00287B80" w:rsidRPr="00C92BF9" w:rsidRDefault="00287B80" w:rsidP="007D734B">
      <w:pPr>
        <w:pStyle w:val="References"/>
        <w:rPr>
          <w:shd w:val="clear" w:color="auto" w:fill="auto"/>
          <w:lang w:eastAsia="en-GB"/>
        </w:rPr>
      </w:pPr>
      <w:r w:rsidRPr="00C92BF9">
        <w:rPr>
          <w:shd w:val="clear" w:color="auto" w:fill="auto"/>
          <w:lang w:eastAsia="en-GB"/>
        </w:rPr>
        <w:t>Goleman, D. (2011). Emotional intelligence: Why it can matter more than IQ. Bantam.</w:t>
      </w:r>
    </w:p>
    <w:p w14:paraId="4F7DDAB4" w14:textId="74496D25" w:rsidR="00287B80" w:rsidRPr="00C92BF9" w:rsidRDefault="00287B80" w:rsidP="007D734B">
      <w:pPr>
        <w:pStyle w:val="References"/>
        <w:rPr>
          <w:shd w:val="clear" w:color="auto" w:fill="auto"/>
          <w:lang w:eastAsia="en-GB"/>
        </w:rPr>
      </w:pPr>
      <w:r w:rsidRPr="00C92BF9">
        <w:rPr>
          <w:shd w:val="clear" w:color="auto" w:fill="auto"/>
          <w:lang w:eastAsia="en-GB"/>
        </w:rPr>
        <w:t xml:space="preserve">Gross, J. J. (2015). Emotion regulation: Current status and future prospects. </w:t>
      </w:r>
      <w:r w:rsidRPr="00C92BF9">
        <w:rPr>
          <w:i/>
          <w:iCs/>
          <w:shd w:val="clear" w:color="auto" w:fill="auto"/>
          <w:lang w:eastAsia="en-GB"/>
        </w:rPr>
        <w:t>Psychological Inquiry, 26</w:t>
      </w:r>
      <w:r w:rsidRPr="00C92BF9">
        <w:rPr>
          <w:shd w:val="clear" w:color="auto" w:fill="auto"/>
          <w:lang w:eastAsia="en-GB"/>
        </w:rPr>
        <w:t xml:space="preserve">(1), 1-26. </w:t>
      </w:r>
      <w:hyperlink r:id="rId43" w:history="1">
        <w:r w:rsidR="00355A2B" w:rsidRPr="00C92BF9">
          <w:rPr>
            <w:rStyle w:val="Hyperlink"/>
            <w:shd w:val="clear" w:color="auto" w:fill="auto"/>
            <w:lang w:val="en-GB" w:eastAsia="en-GB"/>
            <w14:ligatures w14:val="none"/>
          </w:rPr>
          <w:t>https://doi.org/10.1080/1047840X.2014.972229</w:t>
        </w:r>
      </w:hyperlink>
      <w:r w:rsidR="00355A2B" w:rsidRPr="00C92BF9">
        <w:rPr>
          <w:shd w:val="clear" w:color="auto" w:fill="auto"/>
          <w:lang w:eastAsia="en-GB"/>
        </w:rPr>
        <w:t xml:space="preserve"> </w:t>
      </w:r>
    </w:p>
    <w:p w14:paraId="24B9C0C7" w14:textId="59DDAA07" w:rsidR="00150EB2" w:rsidRDefault="00150EB2" w:rsidP="007D734B">
      <w:pPr>
        <w:pStyle w:val="References"/>
        <w:rPr>
          <w:shd w:val="clear" w:color="auto" w:fill="auto"/>
        </w:rPr>
      </w:pPr>
      <w:r w:rsidRPr="00455248">
        <w:t xml:space="preserve">Iuga, I. A., &amp; David, O. A. </w:t>
      </w:r>
      <w:r>
        <w:t>(</w:t>
      </w:r>
      <w:r w:rsidRPr="00455248">
        <w:t>2024</w:t>
      </w:r>
      <w:r>
        <w:t>)</w:t>
      </w:r>
      <w:r w:rsidRPr="00455248">
        <w:t>. Emotion regulation and academic burnout among youth: A quantitative meta-analysis. </w:t>
      </w:r>
      <w:r w:rsidRPr="00150EB2">
        <w:rPr>
          <w:i/>
          <w:iCs/>
        </w:rPr>
        <w:t>Educational Psychology Review, 36</w:t>
      </w:r>
      <w:r w:rsidRPr="00455248">
        <w:t xml:space="preserve">(4), 106. </w:t>
      </w:r>
      <w:hyperlink r:id="rId44" w:history="1">
        <w:r w:rsidRPr="00455248">
          <w:rPr>
            <w:rStyle w:val="Hyperlink"/>
          </w:rPr>
          <w:t>https://doi.org/10.1007/s10648-024-09930-w</w:t>
        </w:r>
      </w:hyperlink>
    </w:p>
    <w:p w14:paraId="46D6DFCF" w14:textId="7E808D4D" w:rsidR="00EE63DC" w:rsidRPr="00C92BF9" w:rsidRDefault="00EE63DC" w:rsidP="007D734B">
      <w:pPr>
        <w:pStyle w:val="References"/>
        <w:rPr>
          <w:shd w:val="clear" w:color="auto" w:fill="auto"/>
        </w:rPr>
      </w:pPr>
      <w:r w:rsidRPr="00C92BF9">
        <w:rPr>
          <w:shd w:val="clear" w:color="auto" w:fill="auto"/>
        </w:rPr>
        <w:t xml:space="preserve">Haynes, K. (2017). Reflexivity in qualitative research. In G. Symon &amp; C. Cassell (Eds.), </w:t>
      </w:r>
      <w:r w:rsidRPr="00C92BF9">
        <w:rPr>
          <w:i/>
          <w:iCs/>
          <w:shd w:val="clear" w:color="auto" w:fill="auto"/>
        </w:rPr>
        <w:t>Qualitative organizational research: Core methods and current challenges.</w:t>
      </w:r>
      <w:r w:rsidRPr="00C92BF9">
        <w:rPr>
          <w:shd w:val="clear" w:color="auto" w:fill="auto"/>
        </w:rPr>
        <w:t xml:space="preserve"> SAGE Publications, Inc., </w:t>
      </w:r>
      <w:hyperlink r:id="rId45" w:history="1">
        <w:r w:rsidRPr="00C92BF9">
          <w:rPr>
            <w:rStyle w:val="Hyperlink"/>
            <w:shd w:val="clear" w:color="auto" w:fill="auto"/>
          </w:rPr>
          <w:t>https://doi.org/10.4135/9781526435620.n5</w:t>
        </w:r>
      </w:hyperlink>
      <w:r w:rsidRPr="00C92BF9">
        <w:rPr>
          <w:shd w:val="clear" w:color="auto" w:fill="auto"/>
        </w:rPr>
        <w:t xml:space="preserve"> </w:t>
      </w:r>
    </w:p>
    <w:p w14:paraId="2BD0C60F" w14:textId="7A2A5BF9" w:rsidR="00583A1C" w:rsidRPr="00C92BF9" w:rsidRDefault="008C4B54" w:rsidP="007D734B">
      <w:pPr>
        <w:pStyle w:val="References"/>
        <w:rPr>
          <w:shd w:val="clear" w:color="auto" w:fill="auto"/>
        </w:rPr>
      </w:pPr>
      <w:r w:rsidRPr="00C92BF9">
        <w:rPr>
          <w:shd w:val="clear" w:color="auto" w:fill="auto"/>
        </w:rPr>
        <w:t>Jalalian-Chursky, K., &amp; Tausen, B. M</w:t>
      </w:r>
      <w:r w:rsidR="00710323" w:rsidRPr="00C92BF9">
        <w:rPr>
          <w:shd w:val="clear" w:color="auto" w:fill="auto"/>
        </w:rPr>
        <w:t xml:space="preserve">. </w:t>
      </w:r>
      <w:r w:rsidRPr="00C92BF9">
        <w:rPr>
          <w:shd w:val="clear" w:color="auto" w:fill="auto"/>
        </w:rPr>
        <w:t>(</w:t>
      </w:r>
      <w:r w:rsidR="00710323" w:rsidRPr="00C92BF9">
        <w:rPr>
          <w:shd w:val="clear" w:color="auto" w:fill="auto"/>
        </w:rPr>
        <w:t>2024</w:t>
      </w:r>
      <w:r w:rsidRPr="00C92BF9">
        <w:rPr>
          <w:shd w:val="clear" w:color="auto" w:fill="auto"/>
        </w:rPr>
        <w:t>)</w:t>
      </w:r>
      <w:r w:rsidR="00710323" w:rsidRPr="00C92BF9">
        <w:rPr>
          <w:shd w:val="clear" w:color="auto" w:fill="auto"/>
        </w:rPr>
        <w:t>. Teaching resilient mindsets: Developing a model and an active learning workshop for first-year college students. </w:t>
      </w:r>
      <w:r w:rsidR="00710323" w:rsidRPr="00C92BF9">
        <w:rPr>
          <w:i/>
          <w:iCs/>
          <w:shd w:val="clear" w:color="auto" w:fill="auto"/>
        </w:rPr>
        <w:t>Student Success</w:t>
      </w:r>
      <w:r w:rsidR="00710323" w:rsidRPr="00C92BF9">
        <w:rPr>
          <w:shd w:val="clear" w:color="auto" w:fill="auto"/>
        </w:rPr>
        <w:t>, </w:t>
      </w:r>
      <w:r w:rsidR="00710323" w:rsidRPr="00C92BF9">
        <w:rPr>
          <w:i/>
          <w:iCs/>
          <w:shd w:val="clear" w:color="auto" w:fill="auto"/>
        </w:rPr>
        <w:t>15</w:t>
      </w:r>
      <w:r w:rsidR="00710323" w:rsidRPr="00C92BF9">
        <w:rPr>
          <w:shd w:val="clear" w:color="auto" w:fill="auto"/>
        </w:rPr>
        <w:t xml:space="preserve">(1), 130-139. </w:t>
      </w:r>
      <w:hyperlink r:id="rId46" w:history="1">
        <w:r w:rsidR="00583A1C" w:rsidRPr="00C92BF9">
          <w:rPr>
            <w:rStyle w:val="Hyperlink"/>
            <w:color w:val="4B7D92"/>
            <w:shd w:val="clear" w:color="auto" w:fill="auto"/>
          </w:rPr>
          <w:t>https://doi.org/10.5204/ssj.3268</w:t>
        </w:r>
      </w:hyperlink>
      <w:r w:rsidR="00583A1C" w:rsidRPr="00C92BF9">
        <w:rPr>
          <w:shd w:val="clear" w:color="auto" w:fill="auto"/>
        </w:rPr>
        <w:t xml:space="preserve"> </w:t>
      </w:r>
    </w:p>
    <w:p w14:paraId="2A3C132B" w14:textId="5644E34C" w:rsidR="00287B80" w:rsidRPr="00C92BF9" w:rsidRDefault="00287B80" w:rsidP="007D734B">
      <w:pPr>
        <w:pStyle w:val="References"/>
        <w:rPr>
          <w:shd w:val="clear" w:color="auto" w:fill="auto"/>
          <w:lang w:eastAsia="en-GB"/>
        </w:rPr>
      </w:pPr>
      <w:r w:rsidRPr="00C92BF9">
        <w:rPr>
          <w:shd w:val="clear" w:color="auto" w:fill="auto"/>
          <w:lang w:eastAsia="en-GB"/>
        </w:rPr>
        <w:t xml:space="preserve">Keable, L. (2022). Supporting mental health and academic outcomes for learners through ‘Metacognition in Practice.’ </w:t>
      </w:r>
      <w:r w:rsidRPr="00C92BF9">
        <w:rPr>
          <w:i/>
          <w:iCs/>
          <w:shd w:val="clear" w:color="auto" w:fill="auto"/>
          <w:lang w:eastAsia="en-GB"/>
        </w:rPr>
        <w:t>K12Digest.</w:t>
      </w:r>
      <w:r w:rsidRPr="00C92BF9">
        <w:rPr>
          <w:shd w:val="clear" w:color="auto" w:fill="auto"/>
          <w:lang w:eastAsia="en-GB"/>
        </w:rPr>
        <w:t xml:space="preserve"> Retrieved from </w:t>
      </w:r>
      <w:hyperlink r:id="rId47" w:tgtFrame="_new" w:history="1">
        <w:r w:rsidRPr="00C92BF9">
          <w:rPr>
            <w:color w:val="0000FF"/>
            <w:u w:val="single"/>
            <w:shd w:val="clear" w:color="auto" w:fill="auto"/>
            <w:lang w:eastAsia="en-GB"/>
          </w:rPr>
          <w:t>https://www.k12digest.com/supporting-mental-health-and-academic-outcomes-for-learners-through-metacognition-in-practice/</w:t>
        </w:r>
      </w:hyperlink>
    </w:p>
    <w:p w14:paraId="5DB8220D" w14:textId="2452A5A8" w:rsidR="00287B80" w:rsidRPr="00C92BF9" w:rsidRDefault="00287B80" w:rsidP="007D734B">
      <w:pPr>
        <w:pStyle w:val="References"/>
        <w:rPr>
          <w:shd w:val="clear" w:color="auto" w:fill="auto"/>
          <w:lang w:eastAsia="en-GB"/>
        </w:rPr>
      </w:pPr>
      <w:r w:rsidRPr="00C92BF9">
        <w:rPr>
          <w:shd w:val="clear" w:color="auto" w:fill="auto"/>
          <w:lang w:eastAsia="en-GB"/>
        </w:rPr>
        <w:t xml:space="preserve">Kim, J., &amp; Hodges, R. (2023). Enhancing self-efficacy for academic resilience: The role of constructive feedback. </w:t>
      </w:r>
      <w:r w:rsidRPr="00C92BF9">
        <w:rPr>
          <w:i/>
          <w:iCs/>
          <w:shd w:val="clear" w:color="auto" w:fill="auto"/>
          <w:lang w:eastAsia="en-GB"/>
        </w:rPr>
        <w:t>Educational Review, 75</w:t>
      </w:r>
      <w:r w:rsidRPr="00C92BF9">
        <w:rPr>
          <w:shd w:val="clear" w:color="auto" w:fill="auto"/>
          <w:lang w:eastAsia="en-GB"/>
        </w:rPr>
        <w:t xml:space="preserve">(3), 410-425. </w:t>
      </w:r>
      <w:hyperlink r:id="rId48" w:history="1">
        <w:r w:rsidR="00697930" w:rsidRPr="00C92BF9">
          <w:rPr>
            <w:rStyle w:val="Hyperlink"/>
            <w:shd w:val="clear" w:color="auto" w:fill="auto"/>
            <w:lang w:val="en-GB" w:eastAsia="en-GB"/>
            <w14:ligatures w14:val="none"/>
          </w:rPr>
          <w:t>https://doi.org/10.1080/00131911.2022.2156845</w:t>
        </w:r>
      </w:hyperlink>
      <w:r w:rsidR="00697930" w:rsidRPr="00C92BF9">
        <w:rPr>
          <w:shd w:val="clear" w:color="auto" w:fill="auto"/>
          <w:lang w:eastAsia="en-GB"/>
        </w:rPr>
        <w:t xml:space="preserve"> </w:t>
      </w:r>
    </w:p>
    <w:p w14:paraId="4A3CCE9C" w14:textId="693EF278" w:rsidR="005D4E9D" w:rsidRPr="00C92BF9" w:rsidRDefault="005D4E9D" w:rsidP="007D734B">
      <w:pPr>
        <w:pStyle w:val="References"/>
        <w:rPr>
          <w:shd w:val="clear" w:color="auto" w:fill="auto"/>
        </w:rPr>
      </w:pPr>
      <w:r w:rsidRPr="00C92BF9">
        <w:rPr>
          <w:shd w:val="clear" w:color="auto" w:fill="auto"/>
        </w:rPr>
        <w:t xml:space="preserve">Kivunja, C., &amp; Kuyini, A. B. (2017). Understanding and applying research paradigms in educational contexts. </w:t>
      </w:r>
      <w:r w:rsidRPr="00C92BF9">
        <w:rPr>
          <w:i/>
          <w:iCs/>
          <w:shd w:val="clear" w:color="auto" w:fill="auto"/>
        </w:rPr>
        <w:t>International Journal of Higher Education, 6</w:t>
      </w:r>
      <w:r w:rsidRPr="00C92BF9">
        <w:rPr>
          <w:shd w:val="clear" w:color="auto" w:fill="auto"/>
        </w:rPr>
        <w:t xml:space="preserve">(5), 26–41. </w:t>
      </w:r>
      <w:hyperlink r:id="rId49" w:history="1">
        <w:r w:rsidRPr="00C92BF9">
          <w:rPr>
            <w:rStyle w:val="Hyperlink"/>
            <w:shd w:val="clear" w:color="auto" w:fill="auto"/>
          </w:rPr>
          <w:t>https://doi.org/10.5430/ijhe.v6n5p26</w:t>
        </w:r>
      </w:hyperlink>
      <w:r w:rsidRPr="00C92BF9">
        <w:rPr>
          <w:shd w:val="clear" w:color="auto" w:fill="auto"/>
        </w:rPr>
        <w:t xml:space="preserve"> </w:t>
      </w:r>
    </w:p>
    <w:p w14:paraId="323B024E" w14:textId="0E57D3DF" w:rsidR="004A4CF0" w:rsidRPr="00625A11" w:rsidRDefault="004A4CF0" w:rsidP="004A4CF0">
      <w:pPr>
        <w:pStyle w:val="References"/>
      </w:pPr>
      <w:r w:rsidRPr="00625A11">
        <w:t xml:space="preserve">Kutsyuruba, B., &amp; Bezzina, C. (2024). Teacher induction and mentoring in Malta: A review of the literature. </w:t>
      </w:r>
      <w:r w:rsidRPr="00625A11">
        <w:rPr>
          <w:i/>
          <w:iCs/>
        </w:rPr>
        <w:t>Education Today</w:t>
      </w:r>
      <w:r w:rsidRPr="00625A11">
        <w:t xml:space="preserve">. </w:t>
      </w:r>
      <w:hyperlink r:id="rId50" w:tgtFrame="_new" w:history="1">
        <w:r w:rsidRPr="00625A11">
          <w:rPr>
            <w:rStyle w:val="Hyperlink"/>
          </w:rPr>
          <w:t>https://analytrics.org/wp-content/uploads/2024/05/ET_Kutsyuruba_Bezzina_2024.pdf</w:t>
        </w:r>
      </w:hyperlink>
    </w:p>
    <w:p w14:paraId="29CD3120" w14:textId="5F690377" w:rsidR="00D0217A" w:rsidRPr="00C92BF9" w:rsidRDefault="00D0217A" w:rsidP="007D734B">
      <w:pPr>
        <w:pStyle w:val="References"/>
        <w:rPr>
          <w:shd w:val="clear" w:color="auto" w:fill="auto"/>
        </w:rPr>
      </w:pPr>
      <w:r w:rsidRPr="00C92BF9">
        <w:rPr>
          <w:shd w:val="clear" w:color="auto" w:fill="auto"/>
        </w:rPr>
        <w:lastRenderedPageBreak/>
        <w:t xml:space="preserve">Lazarus, R.S. (1998). The stress and coping paradigm. In </w:t>
      </w:r>
      <w:r w:rsidRPr="00C92BF9">
        <w:rPr>
          <w:i/>
          <w:iCs/>
          <w:shd w:val="clear" w:color="auto" w:fill="auto"/>
        </w:rPr>
        <w:t>Fifty Years of Research and Theory of R.S. Lazarus: An Analysis of Historical and Perennial Issues</w:t>
      </w:r>
      <w:r w:rsidRPr="00C92BF9">
        <w:rPr>
          <w:shd w:val="clear" w:color="auto" w:fill="auto"/>
        </w:rPr>
        <w:t xml:space="preserve">, 182-220. Psychology Press. </w:t>
      </w:r>
      <w:hyperlink r:id="rId51" w:tgtFrame="_blank" w:history="1">
        <w:r w:rsidRPr="00C92BF9">
          <w:rPr>
            <w:rStyle w:val="Hyperlink"/>
            <w:rFonts w:cs="Open Sans"/>
            <w:color w:val="007A96"/>
            <w:spacing w:val="5"/>
            <w:shd w:val="clear" w:color="auto" w:fill="auto"/>
          </w:rPr>
          <w:t>https://doi.org/10.4324/9780203774595</w:t>
        </w:r>
      </w:hyperlink>
    </w:p>
    <w:p w14:paraId="7BFF26DC" w14:textId="1EF0DFD7" w:rsidR="00287B80" w:rsidRPr="00C92BF9" w:rsidRDefault="00287B80" w:rsidP="007D734B">
      <w:pPr>
        <w:pStyle w:val="References"/>
        <w:rPr>
          <w:shd w:val="clear" w:color="auto" w:fill="auto"/>
          <w:lang w:eastAsia="en-GB"/>
        </w:rPr>
      </w:pPr>
      <w:r w:rsidRPr="00C92BF9">
        <w:rPr>
          <w:shd w:val="clear" w:color="auto" w:fill="auto"/>
          <w:lang w:eastAsia="en-GB"/>
        </w:rPr>
        <w:t xml:space="preserve">Lazarus, R. S., &amp; Folkman, S. (1984). </w:t>
      </w:r>
      <w:r w:rsidRPr="00C92BF9">
        <w:rPr>
          <w:i/>
          <w:iCs/>
          <w:shd w:val="clear" w:color="auto" w:fill="auto"/>
          <w:lang w:eastAsia="en-GB"/>
        </w:rPr>
        <w:t>Stress, appraisal, and coping.</w:t>
      </w:r>
      <w:r w:rsidRPr="00C92BF9">
        <w:rPr>
          <w:shd w:val="clear" w:color="auto" w:fill="auto"/>
          <w:lang w:eastAsia="en-GB"/>
        </w:rPr>
        <w:t xml:space="preserve"> Springer.</w:t>
      </w:r>
    </w:p>
    <w:p w14:paraId="6353641E" w14:textId="4A2A1DC7" w:rsidR="005915A6" w:rsidRPr="00C92BF9" w:rsidRDefault="005915A6" w:rsidP="007D734B">
      <w:pPr>
        <w:pStyle w:val="References"/>
        <w:rPr>
          <w:shd w:val="clear" w:color="auto" w:fill="auto"/>
          <w:lang w:eastAsia="en-GB"/>
          <w14:ligatures w14:val="none"/>
        </w:rPr>
      </w:pPr>
      <w:r w:rsidRPr="00C92BF9">
        <w:rPr>
          <w:shd w:val="clear" w:color="auto" w:fill="auto"/>
          <w:lang w:eastAsia="en-GB"/>
        </w:rPr>
        <w:t xml:space="preserve">Lyu, Y. (2024). Shifting research paradigms in educational research: From positivism to interpretivism. </w:t>
      </w:r>
      <w:r w:rsidRPr="00C92BF9">
        <w:rPr>
          <w:i/>
          <w:iCs/>
          <w:shd w:val="clear" w:color="auto" w:fill="auto"/>
          <w:lang w:eastAsia="en-GB"/>
        </w:rPr>
        <w:t>Science, Technology and Social Development Proceedings Series</w:t>
      </w:r>
      <w:r w:rsidRPr="00C92BF9">
        <w:rPr>
          <w:shd w:val="clear" w:color="auto" w:fill="auto"/>
          <w:lang w:eastAsia="en-GB"/>
        </w:rPr>
        <w:t xml:space="preserve">. 2. 11-14. </w:t>
      </w:r>
      <w:hyperlink r:id="rId52" w:history="1">
        <w:r w:rsidRPr="00C92BF9">
          <w:rPr>
            <w:rStyle w:val="Hyperlink"/>
            <w:shd w:val="clear" w:color="auto" w:fill="auto"/>
            <w:lang w:val="en-GB" w:eastAsia="en-GB"/>
          </w:rPr>
          <w:t>https://www.doi.org/10.70088/bmq18v35</w:t>
        </w:r>
      </w:hyperlink>
    </w:p>
    <w:p w14:paraId="2E0370F9" w14:textId="124E846B" w:rsidR="005C05A7" w:rsidRPr="00C92BF9" w:rsidRDefault="005C05A7" w:rsidP="007D734B">
      <w:pPr>
        <w:pStyle w:val="References"/>
        <w:rPr>
          <w:shd w:val="clear" w:color="auto" w:fill="auto"/>
          <w:lang w:eastAsia="en-GB"/>
        </w:rPr>
      </w:pPr>
      <w:r w:rsidRPr="00C92BF9">
        <w:rPr>
          <w:shd w:val="clear" w:color="auto" w:fill="auto"/>
          <w:lang w:eastAsia="en-GB"/>
        </w:rPr>
        <w:t xml:space="preserve">Maccann, Carolyn &amp; Fogarty, Gerard &amp; Roberts, Richard. (2012). Strategies for success in education: Time management is more important for part-time than full-time community college students. </w:t>
      </w:r>
      <w:r w:rsidRPr="00C92BF9">
        <w:rPr>
          <w:i/>
          <w:iCs/>
          <w:shd w:val="clear" w:color="auto" w:fill="auto"/>
          <w:lang w:eastAsia="en-GB"/>
        </w:rPr>
        <w:t>Learning and Individual Differences. 22</w:t>
      </w:r>
      <w:r w:rsidRPr="00C92BF9">
        <w:rPr>
          <w:shd w:val="clear" w:color="auto" w:fill="auto"/>
          <w:lang w:eastAsia="en-GB"/>
        </w:rPr>
        <w:t xml:space="preserve">. 618–623. </w:t>
      </w:r>
      <w:hyperlink r:id="rId53" w:history="1">
        <w:r w:rsidRPr="00C92BF9">
          <w:rPr>
            <w:rStyle w:val="Hyperlink"/>
            <w:shd w:val="clear" w:color="auto" w:fill="auto"/>
            <w:lang w:eastAsia="en-GB"/>
          </w:rPr>
          <w:t>https://www.doi.org/10.1016/j.lindif.2011.09.015</w:t>
        </w:r>
      </w:hyperlink>
      <w:r w:rsidRPr="00C92BF9">
        <w:rPr>
          <w:shd w:val="clear" w:color="auto" w:fill="auto"/>
          <w:lang w:eastAsia="en-GB"/>
        </w:rPr>
        <w:t xml:space="preserve"> </w:t>
      </w:r>
    </w:p>
    <w:p w14:paraId="0682B379" w14:textId="533EDF25" w:rsidR="00287B80" w:rsidRPr="00C92BF9" w:rsidRDefault="00287B80" w:rsidP="007D734B">
      <w:pPr>
        <w:pStyle w:val="References"/>
        <w:rPr>
          <w:shd w:val="clear" w:color="auto" w:fill="auto"/>
          <w:lang w:eastAsia="en-GB"/>
        </w:rPr>
      </w:pPr>
      <w:r w:rsidRPr="00C92BF9">
        <w:rPr>
          <w:shd w:val="clear" w:color="auto" w:fill="auto"/>
          <w:lang w:eastAsia="en-GB"/>
        </w:rPr>
        <w:t xml:space="preserve">Martin, A. J., &amp; Marsh, H. W. (2019). Time management and academic resilience: The relationship between planning strategies and academic outcomes. </w:t>
      </w:r>
      <w:r w:rsidRPr="00C92BF9">
        <w:rPr>
          <w:i/>
          <w:iCs/>
          <w:shd w:val="clear" w:color="auto" w:fill="auto"/>
          <w:lang w:eastAsia="en-GB"/>
        </w:rPr>
        <w:t>Journal of Educational Psychology, 111</w:t>
      </w:r>
      <w:r w:rsidRPr="00C92BF9">
        <w:rPr>
          <w:shd w:val="clear" w:color="auto" w:fill="auto"/>
          <w:lang w:eastAsia="en-GB"/>
        </w:rPr>
        <w:t xml:space="preserve">(2), 353-367. </w:t>
      </w:r>
      <w:hyperlink r:id="rId54" w:history="1">
        <w:r w:rsidR="00697930" w:rsidRPr="00C92BF9">
          <w:rPr>
            <w:rStyle w:val="Hyperlink"/>
            <w:shd w:val="clear" w:color="auto" w:fill="auto"/>
            <w:lang w:val="en-GB" w:eastAsia="en-GB"/>
            <w14:ligatures w14:val="none"/>
          </w:rPr>
          <w:t>https://doi.org/10.1037/edu0000282</w:t>
        </w:r>
      </w:hyperlink>
      <w:r w:rsidR="00697930" w:rsidRPr="00C92BF9">
        <w:rPr>
          <w:shd w:val="clear" w:color="auto" w:fill="auto"/>
          <w:lang w:eastAsia="en-GB"/>
        </w:rPr>
        <w:t xml:space="preserve"> </w:t>
      </w:r>
    </w:p>
    <w:p w14:paraId="5F2BCBA6" w14:textId="450C1DDF" w:rsidR="00287B80" w:rsidRPr="00C92BF9" w:rsidRDefault="00287B80" w:rsidP="007D734B">
      <w:pPr>
        <w:pStyle w:val="References"/>
        <w:rPr>
          <w:shd w:val="clear" w:color="auto" w:fill="auto"/>
          <w:lang w:eastAsia="en-GB"/>
        </w:rPr>
      </w:pPr>
      <w:r w:rsidRPr="00C92BF9">
        <w:rPr>
          <w:shd w:val="clear" w:color="auto" w:fill="auto"/>
          <w:lang w:eastAsia="en-GB"/>
        </w:rPr>
        <w:t xml:space="preserve">MATSEC. (n.d.). </w:t>
      </w:r>
      <w:r w:rsidRPr="00C92BF9">
        <w:rPr>
          <w:i/>
          <w:iCs/>
          <w:shd w:val="clear" w:color="auto" w:fill="auto"/>
          <w:lang w:eastAsia="en-GB"/>
        </w:rPr>
        <w:t>MATSEC Examinations Board.</w:t>
      </w:r>
      <w:r w:rsidRPr="00C92BF9">
        <w:rPr>
          <w:shd w:val="clear" w:color="auto" w:fill="auto"/>
          <w:lang w:eastAsia="en-GB"/>
        </w:rPr>
        <w:t xml:space="preserve"> University of Malta. Retrieved from </w:t>
      </w:r>
      <w:hyperlink r:id="rId55" w:history="1">
        <w:r w:rsidR="00697930" w:rsidRPr="00C92BF9">
          <w:rPr>
            <w:rStyle w:val="Hyperlink"/>
            <w:shd w:val="clear" w:color="auto" w:fill="auto"/>
            <w:lang w:val="en-GB" w:eastAsia="en-GB"/>
            <w14:ligatures w14:val="none"/>
          </w:rPr>
          <w:t>https://www.um.edu.mt/matsec</w:t>
        </w:r>
      </w:hyperlink>
      <w:r w:rsidR="00697930" w:rsidRPr="00C92BF9">
        <w:rPr>
          <w:shd w:val="clear" w:color="auto" w:fill="auto"/>
          <w:lang w:eastAsia="en-GB"/>
        </w:rPr>
        <w:t xml:space="preserve"> </w:t>
      </w:r>
    </w:p>
    <w:p w14:paraId="4A62097D" w14:textId="0838089B" w:rsidR="000E5D21" w:rsidRPr="002957D9" w:rsidRDefault="000E5D21" w:rsidP="007D734B">
      <w:pPr>
        <w:pStyle w:val="References"/>
        <w:rPr>
          <w:shd w:val="clear" w:color="auto" w:fill="auto"/>
          <w:lang w:eastAsia="en-GB"/>
        </w:rPr>
      </w:pPr>
      <w:r w:rsidRPr="002957D9">
        <w:rPr>
          <w:rStyle w:val="fal6plv"/>
        </w:rPr>
        <w:t xml:space="preserve">Maynard, B. R., Brendel, K. E., Bulanda, J. J., Heyne, D., Thompson, A. M., &amp; Pigott, T. D. (2014). Psychosocial </w:t>
      </w:r>
      <w:r w:rsidR="002957D9">
        <w:rPr>
          <w:rStyle w:val="fal6plv"/>
        </w:rPr>
        <w:t>i</w:t>
      </w:r>
      <w:r w:rsidRPr="002957D9">
        <w:rPr>
          <w:rStyle w:val="fal6plv"/>
        </w:rPr>
        <w:t xml:space="preserve">nterventions for </w:t>
      </w:r>
      <w:r w:rsidR="002957D9">
        <w:rPr>
          <w:rStyle w:val="fal6plv"/>
        </w:rPr>
        <w:t>s</w:t>
      </w:r>
      <w:r w:rsidRPr="002957D9">
        <w:rPr>
          <w:rStyle w:val="fal6plv"/>
        </w:rPr>
        <w:t xml:space="preserve">chool </w:t>
      </w:r>
      <w:r w:rsidR="002957D9">
        <w:rPr>
          <w:rStyle w:val="fal6plv"/>
        </w:rPr>
        <w:t>r</w:t>
      </w:r>
      <w:r w:rsidRPr="002957D9">
        <w:rPr>
          <w:rStyle w:val="fal6plv"/>
        </w:rPr>
        <w:t xml:space="preserve">efusal with </w:t>
      </w:r>
      <w:r w:rsidR="002957D9">
        <w:rPr>
          <w:rStyle w:val="fal6plv"/>
        </w:rPr>
        <w:t>p</w:t>
      </w:r>
      <w:r w:rsidRPr="002957D9">
        <w:rPr>
          <w:rStyle w:val="fal6plv"/>
        </w:rPr>
        <w:t xml:space="preserve">rimary and </w:t>
      </w:r>
      <w:r w:rsidR="002957D9">
        <w:rPr>
          <w:rStyle w:val="fal6plv"/>
        </w:rPr>
        <w:t>s</w:t>
      </w:r>
      <w:r w:rsidRPr="002957D9">
        <w:rPr>
          <w:rStyle w:val="fal6plv"/>
        </w:rPr>
        <w:t xml:space="preserve">econdary </w:t>
      </w:r>
      <w:r w:rsidR="002957D9">
        <w:rPr>
          <w:rStyle w:val="fal6plv"/>
        </w:rPr>
        <w:t>s</w:t>
      </w:r>
      <w:r w:rsidRPr="002957D9">
        <w:rPr>
          <w:rStyle w:val="fal6plv"/>
        </w:rPr>
        <w:t xml:space="preserve">chool </w:t>
      </w:r>
      <w:r w:rsidR="002957D9">
        <w:rPr>
          <w:rStyle w:val="fal6plv"/>
        </w:rPr>
        <w:t>s</w:t>
      </w:r>
      <w:r w:rsidRPr="002957D9">
        <w:rPr>
          <w:rStyle w:val="fal6plv"/>
        </w:rPr>
        <w:t xml:space="preserve">tudents: A </w:t>
      </w:r>
      <w:r w:rsidR="002957D9">
        <w:rPr>
          <w:rStyle w:val="fal6plv"/>
        </w:rPr>
        <w:t>s</w:t>
      </w:r>
      <w:r w:rsidRPr="002957D9">
        <w:rPr>
          <w:rStyle w:val="fal6plv"/>
        </w:rPr>
        <w:t xml:space="preserve">ystematic </w:t>
      </w:r>
      <w:r w:rsidR="002957D9">
        <w:rPr>
          <w:rStyle w:val="fal6plv"/>
        </w:rPr>
        <w:t>r</w:t>
      </w:r>
      <w:r w:rsidRPr="002957D9">
        <w:rPr>
          <w:rStyle w:val="fal6plv"/>
        </w:rPr>
        <w:t>eview. </w:t>
      </w:r>
      <w:r w:rsidRPr="002957D9">
        <w:rPr>
          <w:rStyle w:val="fal6plv"/>
          <w:i/>
          <w:iCs/>
        </w:rPr>
        <w:t>Campbell Systematic Reviews</w:t>
      </w:r>
      <w:r w:rsidRPr="002957D9">
        <w:rPr>
          <w:rStyle w:val="fal6plv"/>
        </w:rPr>
        <w:t>, </w:t>
      </w:r>
      <w:r w:rsidRPr="002957D9">
        <w:rPr>
          <w:rStyle w:val="fal6plv"/>
          <w:i/>
          <w:iCs/>
        </w:rPr>
        <w:t>11</w:t>
      </w:r>
      <w:r w:rsidRPr="002957D9">
        <w:rPr>
          <w:rStyle w:val="fal6plv"/>
        </w:rPr>
        <w:t>(1), 1-76. </w:t>
      </w:r>
      <w:hyperlink r:id="rId56" w:history="1">
        <w:r w:rsidR="002957D9" w:rsidRPr="00F216A4">
          <w:rPr>
            <w:rStyle w:val="Hyperlink"/>
          </w:rPr>
          <w:t>https://doi.org/10.4073/csr.2015.12</w:t>
        </w:r>
      </w:hyperlink>
      <w:r w:rsidR="002957D9">
        <w:rPr>
          <w:rStyle w:val="fal6plv"/>
        </w:rPr>
        <w:t xml:space="preserve"> </w:t>
      </w:r>
    </w:p>
    <w:p w14:paraId="2E307CF7" w14:textId="45D9AA2B" w:rsidR="00287B80" w:rsidRPr="00C92BF9" w:rsidRDefault="00287B80" w:rsidP="007D734B">
      <w:pPr>
        <w:pStyle w:val="References"/>
        <w:rPr>
          <w:shd w:val="clear" w:color="auto" w:fill="auto"/>
          <w:lang w:eastAsia="en-GB"/>
        </w:rPr>
      </w:pPr>
      <w:r w:rsidRPr="00C92BF9">
        <w:rPr>
          <w:shd w:val="clear" w:color="auto" w:fill="auto"/>
          <w:lang w:eastAsia="en-GB"/>
        </w:rPr>
        <w:t xml:space="preserve">MEDE. (2017). </w:t>
      </w:r>
      <w:r w:rsidRPr="00C92BF9">
        <w:rPr>
          <w:i/>
          <w:iCs/>
          <w:shd w:val="clear" w:color="auto" w:fill="auto"/>
          <w:lang w:eastAsia="en-GB"/>
        </w:rPr>
        <w:t>The Future of Post-Secondary Education in Malta and Gozo.</w:t>
      </w:r>
      <w:r w:rsidRPr="00C92BF9">
        <w:rPr>
          <w:shd w:val="clear" w:color="auto" w:fill="auto"/>
          <w:lang w:eastAsia="en-GB"/>
        </w:rPr>
        <w:t xml:space="preserve"> Ministry for Education and Employment. Retrieved from </w:t>
      </w:r>
      <w:hyperlink r:id="rId57" w:history="1">
        <w:r w:rsidR="00697930" w:rsidRPr="00C92BF9">
          <w:rPr>
            <w:rStyle w:val="Hyperlink"/>
            <w:shd w:val="clear" w:color="auto" w:fill="auto"/>
            <w:lang w:val="en-GB" w:eastAsia="en-GB"/>
            <w14:ligatures w14:val="none"/>
          </w:rPr>
          <w:t>https://education.gov.mt/en/Documents/Publications/PostSecondaryEducationMalta_Gozo.pdf</w:t>
        </w:r>
      </w:hyperlink>
      <w:r w:rsidR="00697930" w:rsidRPr="00C92BF9">
        <w:rPr>
          <w:shd w:val="clear" w:color="auto" w:fill="auto"/>
          <w:lang w:eastAsia="en-GB"/>
        </w:rPr>
        <w:t xml:space="preserve"> </w:t>
      </w:r>
    </w:p>
    <w:p w14:paraId="1536EB85" w14:textId="66B14DB0" w:rsidR="00287B80" w:rsidRPr="00C92BF9" w:rsidRDefault="00287B80" w:rsidP="007D734B">
      <w:pPr>
        <w:pStyle w:val="References"/>
        <w:rPr>
          <w:shd w:val="clear" w:color="auto" w:fill="auto"/>
          <w:lang w:eastAsia="en-GB"/>
        </w:rPr>
      </w:pPr>
      <w:r w:rsidRPr="00C92BF9">
        <w:rPr>
          <w:shd w:val="clear" w:color="auto" w:fill="auto"/>
          <w:lang w:eastAsia="en-GB"/>
        </w:rPr>
        <w:t xml:space="preserve">MEYR. (2023). </w:t>
      </w:r>
      <w:r w:rsidRPr="00C92BF9">
        <w:rPr>
          <w:i/>
          <w:iCs/>
          <w:shd w:val="clear" w:color="auto" w:fill="auto"/>
          <w:lang w:eastAsia="en-GB"/>
        </w:rPr>
        <w:t>Maltese Education Strategy 2024-30.</w:t>
      </w:r>
      <w:r w:rsidRPr="00C92BF9">
        <w:rPr>
          <w:shd w:val="clear" w:color="auto" w:fill="auto"/>
          <w:lang w:eastAsia="en-GB"/>
        </w:rPr>
        <w:t xml:space="preserve"> Ministry for Education, Youth and Research. Retrieved from </w:t>
      </w:r>
      <w:hyperlink r:id="rId58" w:history="1">
        <w:r w:rsidR="00697930" w:rsidRPr="00C92BF9">
          <w:rPr>
            <w:rStyle w:val="Hyperlink"/>
            <w:shd w:val="clear" w:color="auto" w:fill="auto"/>
            <w:lang w:val="en-GB" w:eastAsia="en-GB"/>
            <w14:ligatures w14:val="none"/>
          </w:rPr>
          <w:t>https://meyr.gov.mt/education-strategy-2024-2030</w:t>
        </w:r>
      </w:hyperlink>
      <w:r w:rsidR="00697930" w:rsidRPr="00C92BF9">
        <w:rPr>
          <w:shd w:val="clear" w:color="auto" w:fill="auto"/>
          <w:lang w:eastAsia="en-GB"/>
        </w:rPr>
        <w:t xml:space="preserve"> </w:t>
      </w:r>
    </w:p>
    <w:p w14:paraId="153EE948" w14:textId="6FB90F6E" w:rsidR="00FF5FC2" w:rsidRPr="000D1692" w:rsidRDefault="00FF5FC2" w:rsidP="00FF5FC2">
      <w:pPr>
        <w:pStyle w:val="References"/>
        <w:rPr>
          <w:lang w:val="en-GB"/>
        </w:rPr>
      </w:pPr>
      <w:r w:rsidRPr="000D1692">
        <w:t>Modecki, K. L., Zimmer</w:t>
      </w:r>
      <w:r w:rsidRPr="000D1692">
        <w:rPr>
          <w:rFonts w:ascii="Cambria Math" w:hAnsi="Cambria Math" w:cs="Cambria Math"/>
        </w:rPr>
        <w:t>‐</w:t>
      </w:r>
      <w:r w:rsidRPr="000D1692">
        <w:t xml:space="preserve">Gembeck, M. J., &amp; Guerra, N. </w:t>
      </w:r>
      <w:r>
        <w:t>(</w:t>
      </w:r>
      <w:r w:rsidRPr="000D1692">
        <w:t>2017</w:t>
      </w:r>
      <w:r>
        <w:t>)</w:t>
      </w:r>
      <w:r w:rsidRPr="000D1692">
        <w:t>. Emotion regulation, coping, and decision making: Three linked skills for preventing externalizing problems in adolescence. </w:t>
      </w:r>
      <w:r w:rsidRPr="000D1692">
        <w:rPr>
          <w:i/>
          <w:iCs/>
        </w:rPr>
        <w:t>Child development, 88</w:t>
      </w:r>
      <w:r w:rsidRPr="000D1692">
        <w:t xml:space="preserve">(2), 417-426. </w:t>
      </w:r>
      <w:r w:rsidRPr="000D1692">
        <w:rPr>
          <w:lang w:val="en-GB"/>
        </w:rPr>
        <w:t>https://www.doi.org/</w:t>
      </w:r>
      <w:hyperlink r:id="rId59" w:tgtFrame="_blank" w:history="1">
        <w:r w:rsidRPr="000D1692">
          <w:rPr>
            <w:color w:val="205493"/>
            <w:u w:val="single"/>
            <w:lang w:val="en-GB"/>
          </w:rPr>
          <w:t>10.1111/cdev.12734</w:t>
        </w:r>
      </w:hyperlink>
    </w:p>
    <w:p w14:paraId="4D321BD0" w14:textId="5E4D1C6A" w:rsidR="007272EE" w:rsidRPr="00C92BF9" w:rsidRDefault="007272EE" w:rsidP="007D734B">
      <w:pPr>
        <w:pStyle w:val="References"/>
        <w:rPr>
          <w:shd w:val="clear" w:color="auto" w:fill="auto"/>
          <w:lang w:eastAsia="en-GB"/>
        </w:rPr>
      </w:pPr>
      <w:r w:rsidRPr="00C92BF9">
        <w:rPr>
          <w:shd w:val="clear" w:color="auto" w:fill="auto"/>
        </w:rPr>
        <w:t>Muntasir, M., &amp; Akbar, I. (2023). Revisiting the significance of ZDP and scaffolding in English language teaching. </w:t>
      </w:r>
      <w:r w:rsidRPr="00C92BF9">
        <w:rPr>
          <w:i/>
          <w:iCs/>
          <w:shd w:val="clear" w:color="auto" w:fill="auto"/>
        </w:rPr>
        <w:t>JETLEE: Journal of English Language Teaching, Linguistics, and Literature</w:t>
      </w:r>
      <w:r w:rsidRPr="00C92BF9">
        <w:rPr>
          <w:shd w:val="clear" w:color="auto" w:fill="auto"/>
        </w:rPr>
        <w:t>, </w:t>
      </w:r>
      <w:r w:rsidRPr="00C92BF9">
        <w:rPr>
          <w:i/>
          <w:iCs/>
          <w:shd w:val="clear" w:color="auto" w:fill="auto"/>
        </w:rPr>
        <w:t>3</w:t>
      </w:r>
      <w:r w:rsidRPr="00C92BF9">
        <w:rPr>
          <w:shd w:val="clear" w:color="auto" w:fill="auto"/>
        </w:rPr>
        <w:t>(1), 40-45.</w:t>
      </w:r>
      <w:r w:rsidR="00DA6D5D" w:rsidRPr="00C92BF9">
        <w:rPr>
          <w:shd w:val="clear" w:color="auto" w:fill="auto"/>
        </w:rPr>
        <w:t xml:space="preserve"> </w:t>
      </w:r>
      <w:hyperlink r:id="rId60" w:history="1">
        <w:r w:rsidR="00DA6D5D" w:rsidRPr="00C92BF9">
          <w:rPr>
            <w:rStyle w:val="Hyperlink"/>
            <w:color w:val="000000" w:themeColor="text1"/>
            <w:shd w:val="clear" w:color="auto" w:fill="auto"/>
          </w:rPr>
          <w:t>https://doi.org/10.47766/jetlee.v3i1.1276</w:t>
        </w:r>
      </w:hyperlink>
      <w:r w:rsidR="00DA6D5D" w:rsidRPr="00C92BF9">
        <w:rPr>
          <w:shd w:val="clear" w:color="auto" w:fill="auto"/>
        </w:rPr>
        <w:t xml:space="preserve">  </w:t>
      </w:r>
    </w:p>
    <w:p w14:paraId="76F61458" w14:textId="7D47F941" w:rsidR="00287B80" w:rsidRPr="00C92BF9" w:rsidRDefault="00287B80" w:rsidP="007D734B">
      <w:pPr>
        <w:pStyle w:val="References"/>
        <w:rPr>
          <w:shd w:val="clear" w:color="auto" w:fill="auto"/>
          <w:lang w:eastAsia="en-GB"/>
        </w:rPr>
      </w:pPr>
      <w:r w:rsidRPr="00C92BF9">
        <w:rPr>
          <w:shd w:val="clear" w:color="auto" w:fill="auto"/>
          <w:lang w:eastAsia="en-GB"/>
        </w:rPr>
        <w:t xml:space="preserve">Ng, B., &amp; Yeager, D. S. (2020). A Preliminary Study on the Impact of a Brief Online Growth Mindset Intervention on University Students. </w:t>
      </w:r>
      <w:r w:rsidRPr="00C92BF9">
        <w:rPr>
          <w:i/>
          <w:iCs/>
          <w:shd w:val="clear" w:color="auto" w:fill="auto"/>
          <w:lang w:eastAsia="en-GB"/>
        </w:rPr>
        <w:t>Journal of Personality and Social Psychology, 118</w:t>
      </w:r>
      <w:r w:rsidRPr="00C92BF9">
        <w:rPr>
          <w:shd w:val="clear" w:color="auto" w:fill="auto"/>
          <w:lang w:eastAsia="en-GB"/>
        </w:rPr>
        <w:t xml:space="preserve">(2), 291-306. </w:t>
      </w:r>
      <w:hyperlink r:id="rId61" w:history="1">
        <w:r w:rsidR="00697930" w:rsidRPr="00C92BF9">
          <w:rPr>
            <w:rStyle w:val="Hyperlink"/>
            <w:shd w:val="clear" w:color="auto" w:fill="auto"/>
            <w:lang w:val="en-GB" w:eastAsia="en-GB"/>
            <w14:ligatures w14:val="none"/>
          </w:rPr>
          <w:t>https://doi.org/10.1037/pspp0000223</w:t>
        </w:r>
      </w:hyperlink>
      <w:r w:rsidR="00697930" w:rsidRPr="00C92BF9">
        <w:rPr>
          <w:shd w:val="clear" w:color="auto" w:fill="auto"/>
          <w:lang w:eastAsia="en-GB"/>
        </w:rPr>
        <w:t xml:space="preserve"> </w:t>
      </w:r>
    </w:p>
    <w:p w14:paraId="27B74132" w14:textId="77777777" w:rsidR="00C95139" w:rsidRPr="00C92BF9" w:rsidRDefault="00C95139" w:rsidP="007D734B">
      <w:pPr>
        <w:pStyle w:val="References"/>
        <w:rPr>
          <w:rFonts w:cs="Segoe UI"/>
          <w:shd w:val="clear" w:color="auto" w:fill="auto"/>
        </w:rPr>
      </w:pPr>
      <w:r w:rsidRPr="00C92BF9">
        <w:rPr>
          <w:shd w:val="clear" w:color="auto" w:fill="auto"/>
        </w:rPr>
        <w:t xml:space="preserve">NSO. National Statistics Office. 2024. Students in Post-secondary and Tertiary Education: 2022-2023. </w:t>
      </w:r>
      <w:r w:rsidRPr="00C92BF9">
        <w:rPr>
          <w:i/>
          <w:iCs/>
          <w:shd w:val="clear" w:color="auto" w:fill="auto"/>
        </w:rPr>
        <w:t>NSO</w:t>
      </w:r>
      <w:r w:rsidRPr="00C92BF9">
        <w:rPr>
          <w:shd w:val="clear" w:color="auto" w:fill="auto"/>
        </w:rPr>
        <w:t xml:space="preserve">. (Accessed January 4, 2025). Available at: </w:t>
      </w:r>
      <w:hyperlink r:id="rId62" w:history="1">
        <w:r w:rsidRPr="00C92BF9">
          <w:rPr>
            <w:rStyle w:val="Hyperlink"/>
            <w:shd w:val="clear" w:color="auto" w:fill="auto"/>
          </w:rPr>
          <w:t>https://nso.gov.mt/students-in-post-secondary-and-tertiary-education-2022-2023/</w:t>
        </w:r>
      </w:hyperlink>
    </w:p>
    <w:p w14:paraId="2D65D375" w14:textId="4CB58FEB" w:rsidR="0032101A" w:rsidRPr="00821576" w:rsidRDefault="0032101A" w:rsidP="007D734B">
      <w:pPr>
        <w:pStyle w:val="References"/>
        <w:rPr>
          <w:shd w:val="clear" w:color="auto" w:fill="auto"/>
          <w:lang w:eastAsia="en-GB"/>
        </w:rPr>
      </w:pPr>
      <w:r w:rsidRPr="00821576">
        <w:t>Pozo-Rico, T., Poveda, R., Gutiérrez-Fresneda, R., Castejón, J. L., &amp; Gilar-Corbi, R. (2023). Revamping teacher training for challenging times: Teachers’ well-being, resilience, emotional intelligence, and innovative methodologies as key teaching competencies. </w:t>
      </w:r>
      <w:r w:rsidRPr="00821576">
        <w:rPr>
          <w:i/>
          <w:iCs/>
        </w:rPr>
        <w:t>Psychology research and behavior management</w:t>
      </w:r>
      <w:r w:rsidRPr="00821576">
        <w:t>, 1-18.</w:t>
      </w:r>
      <w:r w:rsidRPr="00821576">
        <w:rPr>
          <w:shd w:val="clear" w:color="auto" w:fill="auto"/>
          <w:lang w:eastAsia="en-GB"/>
        </w:rPr>
        <w:t xml:space="preserve"> </w:t>
      </w:r>
      <w:hyperlink r:id="rId63" w:history="1">
        <w:r w:rsidR="000E1A0F" w:rsidRPr="00F216A4">
          <w:rPr>
            <w:rStyle w:val="Hyperlink"/>
            <w:shd w:val="clear" w:color="auto" w:fill="auto"/>
            <w:lang w:eastAsia="en-GB"/>
          </w:rPr>
          <w:t>https://doi.org/10.2147/PRBM.S382572</w:t>
        </w:r>
      </w:hyperlink>
      <w:r w:rsidR="000E1A0F">
        <w:rPr>
          <w:shd w:val="clear" w:color="auto" w:fill="auto"/>
          <w:lang w:eastAsia="en-GB"/>
        </w:rPr>
        <w:t xml:space="preserve"> </w:t>
      </w:r>
    </w:p>
    <w:p w14:paraId="6390C018" w14:textId="282BA501" w:rsidR="000B5C8F" w:rsidRPr="00C92BF9" w:rsidRDefault="00287B80" w:rsidP="007D734B">
      <w:pPr>
        <w:pStyle w:val="References"/>
        <w:rPr>
          <w:shd w:val="clear" w:color="auto" w:fill="auto"/>
        </w:rPr>
      </w:pPr>
      <w:r w:rsidRPr="00C92BF9">
        <w:rPr>
          <w:shd w:val="clear" w:color="auto" w:fill="auto"/>
          <w:lang w:eastAsia="en-GB"/>
        </w:rPr>
        <w:t xml:space="preserve">Radhamani, A. R., &amp; Kalaivani, R. (2021). Building resilience through self-efficacy: A psychological approach. </w:t>
      </w:r>
      <w:r w:rsidRPr="00C92BF9">
        <w:rPr>
          <w:i/>
          <w:iCs/>
          <w:shd w:val="clear" w:color="auto" w:fill="auto"/>
          <w:lang w:eastAsia="en-GB"/>
        </w:rPr>
        <w:t>Journal of Applied Psychology, 14</w:t>
      </w:r>
      <w:r w:rsidRPr="00C92BF9">
        <w:rPr>
          <w:shd w:val="clear" w:color="auto" w:fill="auto"/>
          <w:lang w:eastAsia="en-GB"/>
        </w:rPr>
        <w:t>(1), 45-58.</w:t>
      </w:r>
      <w:r w:rsidR="000B5C8F" w:rsidRPr="00C92BF9">
        <w:rPr>
          <w:shd w:val="clear" w:color="auto" w:fill="auto"/>
          <w:lang w:eastAsia="en-GB"/>
        </w:rPr>
        <w:t xml:space="preserve"> </w:t>
      </w:r>
      <w:hyperlink r:id="rId64" w:history="1">
        <w:r w:rsidR="000B5C8F" w:rsidRPr="00C92BF9">
          <w:rPr>
            <w:rStyle w:val="Hyperlink"/>
            <w:shd w:val="clear" w:color="auto" w:fill="auto"/>
          </w:rPr>
          <w:t>https://doi.org/10.52403/ijrr.20210646</w:t>
        </w:r>
      </w:hyperlink>
      <w:r w:rsidR="000B5C8F" w:rsidRPr="00C92BF9">
        <w:rPr>
          <w:shd w:val="clear" w:color="auto" w:fill="auto"/>
        </w:rPr>
        <w:t xml:space="preserve"> </w:t>
      </w:r>
    </w:p>
    <w:p w14:paraId="72525146" w14:textId="1351FA63" w:rsidR="0008344C" w:rsidRPr="00C92BF9" w:rsidRDefault="0008344C" w:rsidP="007D734B">
      <w:pPr>
        <w:pStyle w:val="References"/>
        <w:rPr>
          <w:shd w:val="clear" w:color="auto" w:fill="auto"/>
        </w:rPr>
      </w:pPr>
      <w:r w:rsidRPr="00C92BF9">
        <w:rPr>
          <w:shd w:val="clear" w:color="auto" w:fill="auto"/>
        </w:rPr>
        <w:t>Ross, P. M., Scanes, E., &amp; Locke, W. (2023). Stress Adaptation and Resilience of Academics in Higher Education. </w:t>
      </w:r>
      <w:r w:rsidRPr="00C92BF9">
        <w:rPr>
          <w:i/>
          <w:iCs/>
          <w:shd w:val="clear" w:color="auto" w:fill="auto"/>
        </w:rPr>
        <w:t>Asia Pacific Education Review.</w:t>
      </w:r>
      <w:r w:rsidRPr="00C92BF9">
        <w:rPr>
          <w:shd w:val="clear" w:color="auto" w:fill="auto"/>
        </w:rPr>
        <w:br/>
      </w:r>
      <w:hyperlink r:id="rId65" w:history="1">
        <w:r w:rsidRPr="00C92BF9">
          <w:rPr>
            <w:rStyle w:val="Hyperlink"/>
            <w:shd w:val="clear" w:color="auto" w:fill="auto"/>
          </w:rPr>
          <w:t>https://doi.org/10.1007/s12564-023-09829-1</w:t>
        </w:r>
      </w:hyperlink>
    </w:p>
    <w:p w14:paraId="75570900" w14:textId="72C7B406" w:rsidR="00FD0877" w:rsidRPr="00C92BF9" w:rsidRDefault="00FD0877" w:rsidP="007D734B">
      <w:pPr>
        <w:pStyle w:val="References"/>
        <w:rPr>
          <w:shd w:val="clear" w:color="auto" w:fill="auto"/>
        </w:rPr>
      </w:pPr>
      <w:r w:rsidRPr="00C92BF9">
        <w:rPr>
          <w:shd w:val="clear" w:color="auto" w:fill="auto"/>
        </w:rPr>
        <w:lastRenderedPageBreak/>
        <w:t>Sandoval-Hernández, A., &amp; Białowolski, P. (2016). Factors and conditions promoting academic resilience: A TIMSS-based analysis of five Asian education systems. </w:t>
      </w:r>
      <w:r w:rsidRPr="00C92BF9">
        <w:rPr>
          <w:i/>
          <w:iCs/>
          <w:shd w:val="clear" w:color="auto" w:fill="auto"/>
        </w:rPr>
        <w:t>Asia Pacific Education Review</w:t>
      </w:r>
      <w:r w:rsidRPr="00C92BF9">
        <w:rPr>
          <w:shd w:val="clear" w:color="auto" w:fill="auto"/>
        </w:rPr>
        <w:t>, </w:t>
      </w:r>
      <w:r w:rsidRPr="00C92BF9">
        <w:rPr>
          <w:i/>
          <w:iCs/>
          <w:shd w:val="clear" w:color="auto" w:fill="auto"/>
        </w:rPr>
        <w:t>17</w:t>
      </w:r>
      <w:r w:rsidRPr="00C92BF9">
        <w:rPr>
          <w:shd w:val="clear" w:color="auto" w:fill="auto"/>
        </w:rPr>
        <w:t xml:space="preserve">(3), 511-520. </w:t>
      </w:r>
      <w:hyperlink r:id="rId66" w:history="1">
        <w:r w:rsidRPr="00C92BF9">
          <w:rPr>
            <w:rStyle w:val="Hyperlink"/>
            <w:shd w:val="clear" w:color="auto" w:fill="auto"/>
          </w:rPr>
          <w:t>https://www.doi.org/10.1007/s12564-016-9447-4</w:t>
        </w:r>
      </w:hyperlink>
      <w:r w:rsidRPr="00C92BF9">
        <w:rPr>
          <w:shd w:val="clear" w:color="auto" w:fill="auto"/>
        </w:rPr>
        <w:t xml:space="preserve"> </w:t>
      </w:r>
    </w:p>
    <w:p w14:paraId="57D000CC" w14:textId="2FAD817F" w:rsidR="00287B80" w:rsidRPr="00C92BF9" w:rsidRDefault="00287B80" w:rsidP="007D734B">
      <w:pPr>
        <w:pStyle w:val="References"/>
        <w:rPr>
          <w:shd w:val="clear" w:color="auto" w:fill="auto"/>
          <w:lang w:eastAsia="en-GB"/>
        </w:rPr>
      </w:pPr>
      <w:r w:rsidRPr="00C92BF9">
        <w:rPr>
          <w:shd w:val="clear" w:color="auto" w:fill="auto"/>
          <w:lang w:eastAsia="en-GB"/>
        </w:rPr>
        <w:t xml:space="preserve">Sarrasin, J. B., Nenciovici, L., Foisy, L. M. B., Allaire-Duquette, G., Riopel, M., &amp; Masson, S. (2018). Effects of teaching the concept of neuroplasticity to induce a growth mindset on motivation, achievement, and brain activity: A meta-analysis. </w:t>
      </w:r>
      <w:r w:rsidRPr="00C92BF9">
        <w:rPr>
          <w:i/>
          <w:iCs/>
          <w:shd w:val="clear" w:color="auto" w:fill="auto"/>
          <w:lang w:eastAsia="en-GB"/>
        </w:rPr>
        <w:t>Trends in Neuroscience and Education, 12</w:t>
      </w:r>
      <w:r w:rsidRPr="00C92BF9">
        <w:rPr>
          <w:shd w:val="clear" w:color="auto" w:fill="auto"/>
          <w:lang w:eastAsia="en-GB"/>
        </w:rPr>
        <w:t xml:space="preserve">, 22-31. </w:t>
      </w:r>
      <w:hyperlink r:id="rId67" w:tgtFrame="_new" w:history="1">
        <w:r w:rsidRPr="00C92BF9">
          <w:rPr>
            <w:color w:val="0000FF"/>
            <w:u w:val="single"/>
            <w:shd w:val="clear" w:color="auto" w:fill="auto"/>
            <w:lang w:eastAsia="en-GB"/>
          </w:rPr>
          <w:t>https://doi.org/10.1016/j.tine.2018.07.003</w:t>
        </w:r>
      </w:hyperlink>
    </w:p>
    <w:p w14:paraId="4EC70832" w14:textId="1E4559F0" w:rsidR="00891038" w:rsidRPr="00C92BF9" w:rsidRDefault="00891038" w:rsidP="007D734B">
      <w:pPr>
        <w:pStyle w:val="References"/>
        <w:rPr>
          <w:shd w:val="clear" w:color="auto" w:fill="auto"/>
          <w:lang w:val="en-GB" w:eastAsia="en-GB"/>
          <w14:ligatures w14:val="none"/>
        </w:rPr>
      </w:pPr>
      <w:r w:rsidRPr="00C92BF9">
        <w:rPr>
          <w:shd w:val="clear" w:color="auto" w:fill="auto"/>
        </w:rPr>
        <w:t xml:space="preserve">Saunders, M., Lewis, P., &amp; Thornhill, A. (2012). </w:t>
      </w:r>
      <w:r w:rsidRPr="00C92BF9">
        <w:rPr>
          <w:i/>
          <w:iCs/>
          <w:shd w:val="clear" w:color="auto" w:fill="auto"/>
        </w:rPr>
        <w:t>Research methods for business students</w:t>
      </w:r>
      <w:r w:rsidRPr="00C92BF9">
        <w:rPr>
          <w:shd w:val="clear" w:color="auto" w:fill="auto"/>
        </w:rPr>
        <w:t>. (6</w:t>
      </w:r>
      <w:r w:rsidRPr="00C92BF9">
        <w:rPr>
          <w:shd w:val="clear" w:color="auto" w:fill="auto"/>
          <w:vertAlign w:val="superscript"/>
        </w:rPr>
        <w:t>th</w:t>
      </w:r>
      <w:r w:rsidRPr="00C92BF9">
        <w:rPr>
          <w:shd w:val="clear" w:color="auto" w:fill="auto"/>
        </w:rPr>
        <w:t xml:space="preserve"> ed.). Pearson Education Limited.  </w:t>
      </w:r>
      <w:hyperlink r:id="rId68" w:history="1">
        <w:r w:rsidRPr="00C92BF9">
          <w:rPr>
            <w:rStyle w:val="Hyperlink"/>
            <w:shd w:val="clear" w:color="auto" w:fill="auto"/>
          </w:rPr>
          <w:t>https://edisciplinas.usp.br/pluginfile.php/8114061/mod_resource/content/1/Research_Methods_for_Business_Students__5th_Edition_saunders.pdf</w:t>
        </w:r>
      </w:hyperlink>
    </w:p>
    <w:p w14:paraId="02EF25AA" w14:textId="28236771" w:rsidR="00003B3C" w:rsidRPr="00C92BF9" w:rsidRDefault="00003B3C" w:rsidP="007D734B">
      <w:pPr>
        <w:pStyle w:val="References"/>
        <w:rPr>
          <w:shd w:val="clear" w:color="auto" w:fill="auto"/>
          <w:lang w:val="en-GB" w:eastAsia="en-GB"/>
          <w14:ligatures w14:val="none"/>
        </w:rPr>
      </w:pPr>
      <w:r w:rsidRPr="00C92BF9">
        <w:rPr>
          <w:shd w:val="clear" w:color="auto" w:fill="auto"/>
        </w:rPr>
        <w:t xml:space="preserve">Skinner, E. A., &amp; Zimmer-Gembeck, M. J. (2007). The development of coping. </w:t>
      </w:r>
      <w:r w:rsidRPr="00C92BF9">
        <w:rPr>
          <w:rStyle w:val="Emphasis"/>
          <w:shd w:val="clear" w:color="auto" w:fill="auto"/>
        </w:rPr>
        <w:t>Annual Review of Psychology, 58</w:t>
      </w:r>
      <w:r w:rsidRPr="00C92BF9">
        <w:rPr>
          <w:shd w:val="clear" w:color="auto" w:fill="auto"/>
        </w:rPr>
        <w:t xml:space="preserve">, 119–144. </w:t>
      </w:r>
      <w:hyperlink r:id="rId69" w:history="1">
        <w:r w:rsidRPr="00C92BF9">
          <w:rPr>
            <w:rStyle w:val="Hyperlink"/>
            <w:shd w:val="clear" w:color="auto" w:fill="auto"/>
          </w:rPr>
          <w:t>https://doi.org/10.1146/annurev.psych.58.110405.085705</w:t>
        </w:r>
      </w:hyperlink>
      <w:r w:rsidRPr="00C92BF9">
        <w:rPr>
          <w:shd w:val="clear" w:color="auto" w:fill="auto"/>
        </w:rPr>
        <w:t xml:space="preserve"> </w:t>
      </w:r>
    </w:p>
    <w:p w14:paraId="66FC6514" w14:textId="00C12423" w:rsidR="007D7DCD" w:rsidRPr="00C92BF9" w:rsidRDefault="007D7DCD" w:rsidP="007D734B">
      <w:pPr>
        <w:pStyle w:val="References"/>
        <w:rPr>
          <w:shd w:val="clear" w:color="auto" w:fill="auto"/>
        </w:rPr>
      </w:pPr>
      <w:r w:rsidRPr="00C92BF9">
        <w:rPr>
          <w:rStyle w:val="fal6plv"/>
          <w:shd w:val="clear" w:color="auto" w:fill="auto"/>
        </w:rPr>
        <w:t>Smagorinsky, P. (2018). Is instructional scaffolding actually Vygotskian, and why should it matter to literacy teachers? </w:t>
      </w:r>
      <w:r w:rsidRPr="00C92BF9">
        <w:rPr>
          <w:rStyle w:val="fal6plv"/>
          <w:i/>
          <w:iCs/>
          <w:shd w:val="clear" w:color="auto" w:fill="auto"/>
        </w:rPr>
        <w:t>Journal of Adolescent &amp; Adult Literacy</w:t>
      </w:r>
      <w:r w:rsidRPr="00C92BF9">
        <w:rPr>
          <w:rStyle w:val="fal6plv"/>
          <w:shd w:val="clear" w:color="auto" w:fill="auto"/>
        </w:rPr>
        <w:t>, </w:t>
      </w:r>
      <w:r w:rsidRPr="00C92BF9">
        <w:rPr>
          <w:rStyle w:val="fal6plv"/>
          <w:i/>
          <w:iCs/>
          <w:shd w:val="clear" w:color="auto" w:fill="auto"/>
        </w:rPr>
        <w:t>62</w:t>
      </w:r>
      <w:r w:rsidRPr="00C92BF9">
        <w:rPr>
          <w:rStyle w:val="fal6plv"/>
          <w:shd w:val="clear" w:color="auto" w:fill="auto"/>
        </w:rPr>
        <w:t>(3), 253-257. </w:t>
      </w:r>
      <w:hyperlink r:id="rId70" w:history="1">
        <w:r w:rsidRPr="00C92BF9">
          <w:rPr>
            <w:rStyle w:val="Hyperlink"/>
            <w:shd w:val="clear" w:color="auto" w:fill="auto"/>
          </w:rPr>
          <w:t>https://doi.org/10.1002/jaal.756</w:t>
        </w:r>
      </w:hyperlink>
      <w:r w:rsidRPr="00C92BF9">
        <w:rPr>
          <w:rStyle w:val="fal6plv"/>
          <w:shd w:val="clear" w:color="auto" w:fill="auto"/>
        </w:rPr>
        <w:t xml:space="preserve"> </w:t>
      </w:r>
      <w:r w:rsidRPr="00C92BF9">
        <w:rPr>
          <w:shd w:val="clear" w:color="auto" w:fill="auto"/>
        </w:rPr>
        <w:t xml:space="preserve"> </w:t>
      </w:r>
    </w:p>
    <w:p w14:paraId="2B518CDB" w14:textId="0974F58A" w:rsidR="00F64A2C" w:rsidRPr="00C92BF9" w:rsidRDefault="00F64A2C" w:rsidP="007D734B">
      <w:pPr>
        <w:pStyle w:val="References"/>
        <w:rPr>
          <w:shd w:val="clear" w:color="auto" w:fill="auto"/>
        </w:rPr>
      </w:pPr>
      <w:r w:rsidRPr="00C92BF9">
        <w:rPr>
          <w:shd w:val="clear" w:color="auto" w:fill="auto"/>
        </w:rPr>
        <w:t xml:space="preserve">Times </w:t>
      </w:r>
      <w:r w:rsidR="00FC5571" w:rsidRPr="00C92BF9">
        <w:rPr>
          <w:shd w:val="clear" w:color="auto" w:fill="auto"/>
        </w:rPr>
        <w:t>o</w:t>
      </w:r>
      <w:r w:rsidRPr="00C92BF9">
        <w:rPr>
          <w:shd w:val="clear" w:color="auto" w:fill="auto"/>
        </w:rPr>
        <w:t>f Malta. (2024). Editorial</w:t>
      </w:r>
      <w:r w:rsidRPr="00075A89">
        <w:rPr>
          <w:i/>
          <w:iCs/>
          <w:shd w:val="clear" w:color="auto" w:fill="auto"/>
        </w:rPr>
        <w:t>: Restoring post-secondary education relevance</w:t>
      </w:r>
      <w:r w:rsidRPr="00C92BF9">
        <w:rPr>
          <w:shd w:val="clear" w:color="auto" w:fill="auto"/>
        </w:rPr>
        <w:t xml:space="preserve">. Retrieved from </w:t>
      </w:r>
      <w:hyperlink r:id="rId71" w:tgtFrame="_new" w:history="1">
        <w:r w:rsidRPr="00C92BF9">
          <w:rPr>
            <w:color w:val="0000FF"/>
            <w:u w:val="single"/>
            <w:shd w:val="clear" w:color="auto" w:fill="auto"/>
          </w:rPr>
          <w:t>https://timesofmalta.com/article/editorial-restoring-postsecondary-education-relevance.1100905</w:t>
        </w:r>
      </w:hyperlink>
    </w:p>
    <w:p w14:paraId="61BB7C5B" w14:textId="6D9CF5F8" w:rsidR="00287B80" w:rsidRPr="00C92BF9" w:rsidRDefault="00287B80" w:rsidP="007D734B">
      <w:pPr>
        <w:pStyle w:val="References"/>
        <w:rPr>
          <w:shd w:val="clear" w:color="auto" w:fill="auto"/>
          <w:lang w:eastAsia="en-GB"/>
        </w:rPr>
      </w:pPr>
      <w:r w:rsidRPr="00C92BF9">
        <w:rPr>
          <w:shd w:val="clear" w:color="auto" w:fill="auto"/>
          <w:lang w:eastAsia="en-GB"/>
        </w:rPr>
        <w:t xml:space="preserve">Trigueros, R., Aguilar-Parra, J. M., Cangas, A. J., Bermejo, R., Ferrandiz, C., &amp; García-González, L. (2020). The influence of emotional intelligence on academic stress: The mediating role of self-efficacy. </w:t>
      </w:r>
      <w:r w:rsidRPr="00C92BF9">
        <w:rPr>
          <w:i/>
          <w:iCs/>
          <w:shd w:val="clear" w:color="auto" w:fill="auto"/>
          <w:lang w:eastAsia="en-GB"/>
        </w:rPr>
        <w:t>Psychology Research and Behavio</w:t>
      </w:r>
      <w:r w:rsidR="00DB5F58" w:rsidRPr="00C92BF9">
        <w:rPr>
          <w:i/>
          <w:iCs/>
          <w:shd w:val="clear" w:color="auto" w:fill="auto"/>
          <w:lang w:eastAsia="en-GB"/>
        </w:rPr>
        <w:t>u</w:t>
      </w:r>
      <w:r w:rsidRPr="00C92BF9">
        <w:rPr>
          <w:i/>
          <w:iCs/>
          <w:shd w:val="clear" w:color="auto" w:fill="auto"/>
          <w:lang w:eastAsia="en-GB"/>
        </w:rPr>
        <w:t>r Management, 13</w:t>
      </w:r>
      <w:r w:rsidRPr="00C92BF9">
        <w:rPr>
          <w:shd w:val="clear" w:color="auto" w:fill="auto"/>
          <w:lang w:eastAsia="en-GB"/>
        </w:rPr>
        <w:t xml:space="preserve">, 365-374. </w:t>
      </w:r>
      <w:hyperlink r:id="rId72" w:history="1">
        <w:r w:rsidR="000B5C8F" w:rsidRPr="00C92BF9">
          <w:rPr>
            <w:rStyle w:val="Hyperlink"/>
            <w:shd w:val="clear" w:color="auto" w:fill="auto"/>
            <w:lang w:val="en-GB" w:eastAsia="en-GB"/>
            <w14:ligatures w14:val="none"/>
          </w:rPr>
          <w:t>https://doi.org/10.2147/PRBM.S254258</w:t>
        </w:r>
      </w:hyperlink>
      <w:r w:rsidR="000B5C8F" w:rsidRPr="00C92BF9">
        <w:rPr>
          <w:shd w:val="clear" w:color="auto" w:fill="auto"/>
          <w:lang w:eastAsia="en-GB"/>
        </w:rPr>
        <w:t xml:space="preserve"> </w:t>
      </w:r>
    </w:p>
    <w:p w14:paraId="05804BEB" w14:textId="366CF435" w:rsidR="00686981" w:rsidRDefault="00686981" w:rsidP="007D734B">
      <w:pPr>
        <w:pStyle w:val="References"/>
        <w:rPr>
          <w:shd w:val="clear" w:color="auto" w:fill="auto"/>
          <w:lang w:eastAsia="en-GB"/>
        </w:rPr>
      </w:pPr>
      <w:r>
        <w:t xml:space="preserve">UNESCO (United Nations Educational, Scientific and Cultural Organization). (n.d.). </w:t>
      </w:r>
      <w:r>
        <w:rPr>
          <w:rStyle w:val="Emphasis"/>
        </w:rPr>
        <w:t>Education 2030: Incheon Declaration and Framework for Action – SDG 4 Education 2030</w:t>
      </w:r>
      <w:r>
        <w:t xml:space="preserve">. Retrieved from </w:t>
      </w:r>
      <w:hyperlink r:id="rId73" w:tgtFrame="_new" w:history="1">
        <w:r>
          <w:rPr>
            <w:rStyle w:val="Hyperlink"/>
          </w:rPr>
          <w:t>https://www.unesco.org/sdg4education2030/en/sdg4</w:t>
        </w:r>
      </w:hyperlink>
    </w:p>
    <w:p w14:paraId="709E9EA0" w14:textId="1A5D39D4" w:rsidR="00287B80" w:rsidRPr="00C92BF9" w:rsidRDefault="00287B80" w:rsidP="007D734B">
      <w:pPr>
        <w:pStyle w:val="References"/>
        <w:rPr>
          <w:shd w:val="clear" w:color="auto" w:fill="auto"/>
          <w:lang w:eastAsia="en-GB"/>
        </w:rPr>
      </w:pPr>
      <w:r w:rsidRPr="00C92BF9">
        <w:rPr>
          <w:shd w:val="clear" w:color="auto" w:fill="auto"/>
          <w:lang w:eastAsia="en-GB"/>
        </w:rPr>
        <w:t xml:space="preserve">Ungar, M. (2021). </w:t>
      </w:r>
      <w:r w:rsidRPr="00C92BF9">
        <w:rPr>
          <w:i/>
          <w:iCs/>
          <w:shd w:val="clear" w:color="auto" w:fill="auto"/>
          <w:lang w:eastAsia="en-GB"/>
        </w:rPr>
        <w:t>Multisystemic resilience: Adaptation and transformation in contexts of change.</w:t>
      </w:r>
      <w:r w:rsidRPr="00C92BF9">
        <w:rPr>
          <w:shd w:val="clear" w:color="auto" w:fill="auto"/>
          <w:lang w:eastAsia="en-GB"/>
        </w:rPr>
        <w:t xml:space="preserve"> Oxford University Press. </w:t>
      </w:r>
      <w:hyperlink r:id="rId74" w:history="1">
        <w:r w:rsidR="000B5C8F" w:rsidRPr="00C92BF9">
          <w:rPr>
            <w:rStyle w:val="Hyperlink"/>
            <w:shd w:val="clear" w:color="auto" w:fill="auto"/>
            <w:lang w:val="en-GB" w:eastAsia="en-GB"/>
            <w14:ligatures w14:val="none"/>
          </w:rPr>
          <w:t>https://doi.org/10.1093/oso/9780190095888.001.0001</w:t>
        </w:r>
      </w:hyperlink>
      <w:r w:rsidR="000B5C8F" w:rsidRPr="00C92BF9">
        <w:rPr>
          <w:shd w:val="clear" w:color="auto" w:fill="auto"/>
          <w:lang w:eastAsia="en-GB"/>
        </w:rPr>
        <w:t xml:space="preserve"> </w:t>
      </w:r>
    </w:p>
    <w:p w14:paraId="3258625E" w14:textId="1082E621" w:rsidR="00773574" w:rsidRPr="00C92BF9" w:rsidRDefault="00773574" w:rsidP="007D734B">
      <w:pPr>
        <w:pStyle w:val="References"/>
        <w:rPr>
          <w:shd w:val="clear" w:color="auto" w:fill="auto"/>
        </w:rPr>
      </w:pPr>
      <w:r w:rsidRPr="00C92BF9">
        <w:rPr>
          <w:shd w:val="clear" w:color="auto" w:fill="auto"/>
        </w:rPr>
        <w:t xml:space="preserve">Vaughn, L.M., &amp; Jacquez, F. (2020). Participatory research methods – choice points in the research process. </w:t>
      </w:r>
      <w:r w:rsidRPr="00C92BF9">
        <w:rPr>
          <w:i/>
          <w:iCs/>
          <w:shd w:val="clear" w:color="auto" w:fill="auto"/>
        </w:rPr>
        <w:t>Journal of Participatory Research Methods, 1</w:t>
      </w:r>
      <w:r w:rsidRPr="00C92BF9">
        <w:rPr>
          <w:shd w:val="clear" w:color="auto" w:fill="auto"/>
        </w:rPr>
        <w:t xml:space="preserve">(1), 1-13. </w:t>
      </w:r>
      <w:hyperlink r:id="rId75" w:history="1">
        <w:r w:rsidRPr="00C92BF9">
          <w:rPr>
            <w:rStyle w:val="Hyperlink"/>
            <w:shd w:val="clear" w:color="auto" w:fill="auto"/>
          </w:rPr>
          <w:t>https://doi.org/10.35844/001c.13244</w:t>
        </w:r>
      </w:hyperlink>
    </w:p>
    <w:p w14:paraId="1067622E" w14:textId="3075AE86" w:rsidR="00261E31" w:rsidRPr="00C92BF9" w:rsidRDefault="00261E31" w:rsidP="007D734B">
      <w:pPr>
        <w:pStyle w:val="References"/>
        <w:rPr>
          <w:shd w:val="clear" w:color="auto" w:fill="auto"/>
        </w:rPr>
      </w:pPr>
      <w:r w:rsidRPr="00C92BF9">
        <w:rPr>
          <w:shd w:val="clear" w:color="auto" w:fill="auto"/>
        </w:rPr>
        <w:t xml:space="preserve">Vygotsky, L. S. 1978. </w:t>
      </w:r>
      <w:r w:rsidRPr="00F3347C">
        <w:rPr>
          <w:i/>
          <w:iCs/>
          <w:shd w:val="clear" w:color="auto" w:fill="auto"/>
        </w:rPr>
        <w:t>Mind in Society: the Development of Higher Psychological Processes</w:t>
      </w:r>
      <w:r w:rsidRPr="00C92BF9">
        <w:rPr>
          <w:shd w:val="clear" w:color="auto" w:fill="auto"/>
        </w:rPr>
        <w:t>. Cambridge, MA: Harvard University Press.</w:t>
      </w:r>
    </w:p>
    <w:p w14:paraId="1525F78A" w14:textId="2AE965D9" w:rsidR="00250952" w:rsidRPr="00C92BF9" w:rsidRDefault="00250952" w:rsidP="007D734B">
      <w:pPr>
        <w:pStyle w:val="References"/>
        <w:rPr>
          <w:shd w:val="clear" w:color="auto" w:fill="auto"/>
        </w:rPr>
      </w:pPr>
      <w:r w:rsidRPr="00C92BF9">
        <w:rPr>
          <w:shd w:val="clear" w:color="auto" w:fill="auto"/>
        </w:rPr>
        <w:t xml:space="preserve">Walsh, D., &amp; Downe, S. (2006). Appraising the quality of qualitative research. </w:t>
      </w:r>
      <w:r w:rsidRPr="00C92BF9">
        <w:rPr>
          <w:i/>
          <w:iCs/>
          <w:shd w:val="clear" w:color="auto" w:fill="auto"/>
        </w:rPr>
        <w:t>Midwifery, 22</w:t>
      </w:r>
      <w:r w:rsidRPr="00C92BF9">
        <w:rPr>
          <w:shd w:val="clear" w:color="auto" w:fill="auto"/>
        </w:rPr>
        <w:t xml:space="preserve">(2). 108-119 </w:t>
      </w:r>
      <w:hyperlink r:id="rId76" w:history="1">
        <w:r w:rsidRPr="00C92BF9">
          <w:rPr>
            <w:rStyle w:val="Hyperlink"/>
            <w:shd w:val="clear" w:color="auto" w:fill="auto"/>
          </w:rPr>
          <w:t>https://doi.org/10.1016/j.midw.2005.05.004</w:t>
        </w:r>
      </w:hyperlink>
      <w:r w:rsidRPr="00C92BF9">
        <w:rPr>
          <w:shd w:val="clear" w:color="auto" w:fill="auto"/>
        </w:rPr>
        <w:t xml:space="preserve"> </w:t>
      </w:r>
    </w:p>
    <w:p w14:paraId="1F749540" w14:textId="77777777" w:rsidR="0010164E" w:rsidRPr="00D4273F" w:rsidRDefault="0010164E" w:rsidP="0010164E">
      <w:pPr>
        <w:pStyle w:val="References"/>
      </w:pPr>
      <w:r w:rsidRPr="006F5150">
        <w:t>Wang, Y. X., &amp; Yin, B. (2023). A new understanding of the cognitive reappraisal technique: an extension based on the schema theory. </w:t>
      </w:r>
      <w:r w:rsidRPr="006F5150">
        <w:rPr>
          <w:i/>
          <w:iCs/>
        </w:rPr>
        <w:t>Frontiers in Behavioral Neuroscience</w:t>
      </w:r>
      <w:r w:rsidRPr="006F5150">
        <w:t>, </w:t>
      </w:r>
      <w:r w:rsidRPr="006F5150">
        <w:rPr>
          <w:i/>
          <w:iCs/>
        </w:rPr>
        <w:t>17</w:t>
      </w:r>
      <w:r w:rsidRPr="006F5150">
        <w:t xml:space="preserve">(1), 1-11. </w:t>
      </w:r>
      <w:hyperlink r:id="rId77" w:history="1">
        <w:r w:rsidRPr="006F5150">
          <w:rPr>
            <w:rStyle w:val="Hyperlink"/>
          </w:rPr>
          <w:t>https://doi.org/10.3389/fnbeh.2023.1174585</w:t>
        </w:r>
      </w:hyperlink>
    </w:p>
    <w:p w14:paraId="1011C7AD" w14:textId="57B9DE45" w:rsidR="00250952" w:rsidRPr="00C92BF9" w:rsidRDefault="000D7255" w:rsidP="007D734B">
      <w:pPr>
        <w:pStyle w:val="References"/>
        <w:rPr>
          <w:shd w:val="clear" w:color="auto" w:fill="auto"/>
        </w:rPr>
      </w:pPr>
      <w:r w:rsidRPr="00C92BF9">
        <w:rPr>
          <w:shd w:val="clear" w:color="auto" w:fill="auto"/>
        </w:rPr>
        <w:t xml:space="preserve">Windle, G. (2011). What is resilience? A review and concept analysis. </w:t>
      </w:r>
      <w:r w:rsidRPr="00C92BF9">
        <w:rPr>
          <w:rStyle w:val="Emphasis"/>
          <w:shd w:val="clear" w:color="auto" w:fill="auto"/>
        </w:rPr>
        <w:t>Reviews in Clinical Gerontology, 21</w:t>
      </w:r>
      <w:r w:rsidRPr="00C92BF9">
        <w:rPr>
          <w:shd w:val="clear" w:color="auto" w:fill="auto"/>
        </w:rPr>
        <w:t xml:space="preserve">(2), 152–169. </w:t>
      </w:r>
      <w:hyperlink r:id="rId78" w:tgtFrame="_new" w:history="1">
        <w:r w:rsidRPr="00C92BF9">
          <w:rPr>
            <w:rStyle w:val="Hyperlink"/>
            <w:shd w:val="clear" w:color="auto" w:fill="auto"/>
          </w:rPr>
          <w:t>https://doi.org/10.1017/S0959259810000420</w:t>
        </w:r>
      </w:hyperlink>
    </w:p>
    <w:p w14:paraId="186E393F" w14:textId="5796F443" w:rsidR="009D0BE0" w:rsidRPr="00C92BF9" w:rsidRDefault="009D0BE0" w:rsidP="007D734B">
      <w:pPr>
        <w:pStyle w:val="References"/>
        <w:rPr>
          <w:shd w:val="clear" w:color="auto" w:fill="auto"/>
        </w:rPr>
      </w:pPr>
      <w:r w:rsidRPr="00C92BF9">
        <w:rPr>
          <w:shd w:val="clear" w:color="auto" w:fill="auto"/>
        </w:rPr>
        <w:t xml:space="preserve">Yazar, R., &amp; Tolan, Ö. (2020). Investigation of the relationships between metacognitive functions and subjective well-being and depression, anxiety and stress levels in adult individuals. </w:t>
      </w:r>
      <w:r w:rsidRPr="00C92BF9">
        <w:rPr>
          <w:i/>
          <w:iCs/>
          <w:shd w:val="clear" w:color="auto" w:fill="auto"/>
        </w:rPr>
        <w:t>Research on Education and Psychology (REP), 4</w:t>
      </w:r>
      <w:r w:rsidRPr="00C92BF9">
        <w:rPr>
          <w:shd w:val="clear" w:color="auto" w:fill="auto"/>
        </w:rPr>
        <w:t xml:space="preserve">. 172-193. </w:t>
      </w:r>
      <w:hyperlink r:id="rId79" w:history="1">
        <w:r w:rsidRPr="00C92BF9">
          <w:rPr>
            <w:rStyle w:val="Hyperlink"/>
            <w:shd w:val="clear" w:color="auto" w:fill="auto"/>
          </w:rPr>
          <w:t>http://dergipark.org.tr/rep</w:t>
        </w:r>
      </w:hyperlink>
    </w:p>
    <w:p w14:paraId="0EA64D65" w14:textId="51A230B6" w:rsidR="008071F6" w:rsidRDefault="008071F6" w:rsidP="007D734B">
      <w:pPr>
        <w:pStyle w:val="References"/>
      </w:pPr>
      <w:r>
        <w:t xml:space="preserve">Yeager, D. S., &amp; Dweck, C. S. (2012). Mindsets that promote resilience: When students believe that personal characteristics can be developed. </w:t>
      </w:r>
      <w:r>
        <w:rPr>
          <w:rStyle w:val="Emphasis"/>
        </w:rPr>
        <w:t>Educational Psychologist, 47</w:t>
      </w:r>
      <w:r>
        <w:t xml:space="preserve">(4), 302–314. </w:t>
      </w:r>
      <w:hyperlink r:id="rId80" w:history="1">
        <w:r w:rsidRPr="00F216A4">
          <w:rPr>
            <w:rStyle w:val="Hyperlink"/>
          </w:rPr>
          <w:t>https://doi.org/10.1080/00461520.2012.722805</w:t>
        </w:r>
      </w:hyperlink>
      <w:r>
        <w:t xml:space="preserve"> </w:t>
      </w:r>
    </w:p>
    <w:p w14:paraId="721B9AA6" w14:textId="1FAEC583" w:rsidR="00287B80" w:rsidRPr="00C10B27" w:rsidRDefault="00993FA6" w:rsidP="007D734B">
      <w:pPr>
        <w:pStyle w:val="References"/>
      </w:pPr>
      <w:r w:rsidRPr="00C92BF9">
        <w:rPr>
          <w:shd w:val="clear" w:color="auto" w:fill="auto"/>
        </w:rPr>
        <w:lastRenderedPageBreak/>
        <w:t xml:space="preserve">Zhang, S., Rehman, S., Zhao, Y., Rehman, E., &amp; Yaqoob, B. (2024). Exploring the interplay of academic stress, motivation, emotional intelligence, and mindfulness in higher education: A longitudinal cross-lagged panel model approach. </w:t>
      </w:r>
      <w:r w:rsidRPr="00C92BF9">
        <w:rPr>
          <w:rStyle w:val="Emphasis"/>
          <w:shd w:val="clear" w:color="auto" w:fill="auto"/>
        </w:rPr>
        <w:t>BMC Psychology, 12</w:t>
      </w:r>
      <w:r w:rsidRPr="00C92BF9">
        <w:rPr>
          <w:shd w:val="clear" w:color="auto" w:fill="auto"/>
        </w:rPr>
        <w:t xml:space="preserve">, 732. </w:t>
      </w:r>
      <w:hyperlink r:id="rId81" w:history="1">
        <w:r w:rsidRPr="00C92BF9">
          <w:rPr>
            <w:rStyle w:val="Hyperlink"/>
            <w:shd w:val="clear" w:color="auto" w:fill="auto"/>
          </w:rPr>
          <w:t>https://doi.org/10.1186/s40359-024-02284-6</w:t>
        </w:r>
      </w:hyperlink>
      <w:r w:rsidRPr="00C92BF9">
        <w:rPr>
          <w:shd w:val="clear" w:color="auto" w:fill="auto"/>
        </w:rPr>
        <w:t xml:space="preserve"> </w:t>
      </w:r>
    </w:p>
    <w:sectPr w:rsidR="00287B80" w:rsidRPr="00C10B27" w:rsidSect="00B05250">
      <w:footerReference w:type="default" r:id="rId8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7380F" w14:textId="77777777" w:rsidR="00163B8E" w:rsidRDefault="00163B8E" w:rsidP="00BB1889">
      <w:r>
        <w:separator/>
      </w:r>
    </w:p>
  </w:endnote>
  <w:endnote w:type="continuationSeparator" w:id="0">
    <w:p w14:paraId="7B8C6EC5" w14:textId="77777777" w:rsidR="00163B8E" w:rsidRDefault="00163B8E" w:rsidP="00BB1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768859"/>
      <w:docPartObj>
        <w:docPartGallery w:val="Page Numbers (Bottom of Page)"/>
        <w:docPartUnique/>
      </w:docPartObj>
    </w:sdtPr>
    <w:sdtEndPr>
      <w:rPr>
        <w:noProof/>
      </w:rPr>
    </w:sdtEndPr>
    <w:sdtContent>
      <w:p w14:paraId="01502AF2" w14:textId="1BB9B84F" w:rsidR="00BB1889" w:rsidRDefault="00BB18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5E0165" w14:textId="77777777" w:rsidR="00BB1889" w:rsidRDefault="00BB1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3B605" w14:textId="77777777" w:rsidR="00163B8E" w:rsidRDefault="00163B8E" w:rsidP="00BB1889">
      <w:r>
        <w:separator/>
      </w:r>
    </w:p>
  </w:footnote>
  <w:footnote w:type="continuationSeparator" w:id="0">
    <w:p w14:paraId="176A22BE" w14:textId="77777777" w:rsidR="00163B8E" w:rsidRDefault="00163B8E" w:rsidP="00BB1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54A5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5C4237"/>
    <w:multiLevelType w:val="multilevel"/>
    <w:tmpl w:val="CF48B810"/>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A12513E"/>
    <w:multiLevelType w:val="multilevel"/>
    <w:tmpl w:val="0404834C"/>
    <w:lvl w:ilvl="0">
      <w:start w:val="1"/>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A7A74C3"/>
    <w:multiLevelType w:val="hybridMultilevel"/>
    <w:tmpl w:val="5F92E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E382E"/>
    <w:multiLevelType w:val="multilevel"/>
    <w:tmpl w:val="174AD51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2A07A06"/>
    <w:multiLevelType w:val="hybridMultilevel"/>
    <w:tmpl w:val="42A4EEB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151F94"/>
    <w:multiLevelType w:val="multilevel"/>
    <w:tmpl w:val="95487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E575C5"/>
    <w:multiLevelType w:val="hybridMultilevel"/>
    <w:tmpl w:val="38384CF8"/>
    <w:lvl w:ilvl="0" w:tplc="4028B3A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17E66F2"/>
    <w:multiLevelType w:val="multilevel"/>
    <w:tmpl w:val="6D76AA1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79DA7F76"/>
    <w:multiLevelType w:val="multilevel"/>
    <w:tmpl w:val="439E94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57695952">
    <w:abstractNumId w:val="7"/>
  </w:num>
  <w:num w:numId="2" w16cid:durableId="1026951605">
    <w:abstractNumId w:val="9"/>
  </w:num>
  <w:num w:numId="3" w16cid:durableId="232088775">
    <w:abstractNumId w:val="6"/>
  </w:num>
  <w:num w:numId="4" w16cid:durableId="838350384">
    <w:abstractNumId w:val="2"/>
  </w:num>
  <w:num w:numId="5" w16cid:durableId="1802185706">
    <w:abstractNumId w:val="4"/>
  </w:num>
  <w:num w:numId="6" w16cid:durableId="1872645006">
    <w:abstractNumId w:val="1"/>
  </w:num>
  <w:num w:numId="7" w16cid:durableId="1853185338">
    <w:abstractNumId w:val="0"/>
  </w:num>
  <w:num w:numId="8" w16cid:durableId="1839997733">
    <w:abstractNumId w:val="8"/>
  </w:num>
  <w:num w:numId="9" w16cid:durableId="755327386">
    <w:abstractNumId w:val="3"/>
  </w:num>
  <w:num w:numId="10" w16cid:durableId="1772582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I0tDA2sTAwNLY0MzNV0lEKTi0uzszPAykwqwUASBN18iwAAAA="/>
  </w:docVars>
  <w:rsids>
    <w:rsidRoot w:val="00C10B27"/>
    <w:rsid w:val="0000274F"/>
    <w:rsid w:val="00003B3C"/>
    <w:rsid w:val="000134AC"/>
    <w:rsid w:val="000203C8"/>
    <w:rsid w:val="00021771"/>
    <w:rsid w:val="00023687"/>
    <w:rsid w:val="000412D5"/>
    <w:rsid w:val="00051B19"/>
    <w:rsid w:val="00053353"/>
    <w:rsid w:val="00056FC1"/>
    <w:rsid w:val="000754CC"/>
    <w:rsid w:val="00075A89"/>
    <w:rsid w:val="0008344C"/>
    <w:rsid w:val="00085EE1"/>
    <w:rsid w:val="000865C4"/>
    <w:rsid w:val="0009196C"/>
    <w:rsid w:val="00091CB8"/>
    <w:rsid w:val="0009240D"/>
    <w:rsid w:val="00092F00"/>
    <w:rsid w:val="00096ED2"/>
    <w:rsid w:val="000A07CE"/>
    <w:rsid w:val="000A0883"/>
    <w:rsid w:val="000B1F56"/>
    <w:rsid w:val="000B4011"/>
    <w:rsid w:val="000B54AB"/>
    <w:rsid w:val="000B5C8F"/>
    <w:rsid w:val="000B62A6"/>
    <w:rsid w:val="000C0475"/>
    <w:rsid w:val="000C2211"/>
    <w:rsid w:val="000C5BA0"/>
    <w:rsid w:val="000D29B7"/>
    <w:rsid w:val="000D533C"/>
    <w:rsid w:val="000D7255"/>
    <w:rsid w:val="000E1A0F"/>
    <w:rsid w:val="000E37BF"/>
    <w:rsid w:val="000E5D21"/>
    <w:rsid w:val="000E69E6"/>
    <w:rsid w:val="000F5857"/>
    <w:rsid w:val="0010164E"/>
    <w:rsid w:val="001140A6"/>
    <w:rsid w:val="001163E7"/>
    <w:rsid w:val="00126B55"/>
    <w:rsid w:val="001303DE"/>
    <w:rsid w:val="001343BA"/>
    <w:rsid w:val="00136943"/>
    <w:rsid w:val="00140B16"/>
    <w:rsid w:val="00144E91"/>
    <w:rsid w:val="00150EB2"/>
    <w:rsid w:val="00160F1B"/>
    <w:rsid w:val="00162DA9"/>
    <w:rsid w:val="00163370"/>
    <w:rsid w:val="00163B8E"/>
    <w:rsid w:val="00165A75"/>
    <w:rsid w:val="00176E07"/>
    <w:rsid w:val="00177ABB"/>
    <w:rsid w:val="00177F79"/>
    <w:rsid w:val="001869C4"/>
    <w:rsid w:val="001A0048"/>
    <w:rsid w:val="001A27C9"/>
    <w:rsid w:val="001B7B29"/>
    <w:rsid w:val="001B7B49"/>
    <w:rsid w:val="001C2FF7"/>
    <w:rsid w:val="001C41F2"/>
    <w:rsid w:val="001D68BE"/>
    <w:rsid w:val="001D6A46"/>
    <w:rsid w:val="001D6CE5"/>
    <w:rsid w:val="001E406F"/>
    <w:rsid w:val="001E687B"/>
    <w:rsid w:val="00200EE6"/>
    <w:rsid w:val="002074CD"/>
    <w:rsid w:val="00212609"/>
    <w:rsid w:val="00213FF6"/>
    <w:rsid w:val="00215AE2"/>
    <w:rsid w:val="00220F82"/>
    <w:rsid w:val="00225367"/>
    <w:rsid w:val="002274B5"/>
    <w:rsid w:val="00230B90"/>
    <w:rsid w:val="00235944"/>
    <w:rsid w:val="0023778D"/>
    <w:rsid w:val="00246228"/>
    <w:rsid w:val="00250952"/>
    <w:rsid w:val="00260E44"/>
    <w:rsid w:val="00261E31"/>
    <w:rsid w:val="00264590"/>
    <w:rsid w:val="00271B33"/>
    <w:rsid w:val="00274881"/>
    <w:rsid w:val="00277CD8"/>
    <w:rsid w:val="00282968"/>
    <w:rsid w:val="002837FC"/>
    <w:rsid w:val="00285CB2"/>
    <w:rsid w:val="00287B80"/>
    <w:rsid w:val="00290193"/>
    <w:rsid w:val="00291E6B"/>
    <w:rsid w:val="002931C1"/>
    <w:rsid w:val="00293B36"/>
    <w:rsid w:val="00294A3F"/>
    <w:rsid w:val="002957D9"/>
    <w:rsid w:val="002A6D46"/>
    <w:rsid w:val="002B50AF"/>
    <w:rsid w:val="002C6850"/>
    <w:rsid w:val="002D008C"/>
    <w:rsid w:val="002D03E0"/>
    <w:rsid w:val="002D5BDD"/>
    <w:rsid w:val="002D62A2"/>
    <w:rsid w:val="002F131C"/>
    <w:rsid w:val="002F2DD8"/>
    <w:rsid w:val="0032101A"/>
    <w:rsid w:val="00323D0C"/>
    <w:rsid w:val="00333A5F"/>
    <w:rsid w:val="0034468C"/>
    <w:rsid w:val="00346CE7"/>
    <w:rsid w:val="00351471"/>
    <w:rsid w:val="00352FFE"/>
    <w:rsid w:val="0035383B"/>
    <w:rsid w:val="00355A2B"/>
    <w:rsid w:val="003571A1"/>
    <w:rsid w:val="00362828"/>
    <w:rsid w:val="00375114"/>
    <w:rsid w:val="00385267"/>
    <w:rsid w:val="00385CD7"/>
    <w:rsid w:val="003925B6"/>
    <w:rsid w:val="003929FE"/>
    <w:rsid w:val="00397879"/>
    <w:rsid w:val="003A2121"/>
    <w:rsid w:val="003A2741"/>
    <w:rsid w:val="003A77C9"/>
    <w:rsid w:val="003B21D4"/>
    <w:rsid w:val="003B465A"/>
    <w:rsid w:val="003B6BB8"/>
    <w:rsid w:val="003B7BB9"/>
    <w:rsid w:val="003C0380"/>
    <w:rsid w:val="003D59AD"/>
    <w:rsid w:val="003E1CC7"/>
    <w:rsid w:val="003E1EA6"/>
    <w:rsid w:val="003E3357"/>
    <w:rsid w:val="003E640F"/>
    <w:rsid w:val="00402D86"/>
    <w:rsid w:val="00403BE4"/>
    <w:rsid w:val="00405C1B"/>
    <w:rsid w:val="00413522"/>
    <w:rsid w:val="00413758"/>
    <w:rsid w:val="004207FB"/>
    <w:rsid w:val="004219AB"/>
    <w:rsid w:val="0042316C"/>
    <w:rsid w:val="00424946"/>
    <w:rsid w:val="00431CE2"/>
    <w:rsid w:val="004410AD"/>
    <w:rsid w:val="00447854"/>
    <w:rsid w:val="00451D08"/>
    <w:rsid w:val="00453CB5"/>
    <w:rsid w:val="00454383"/>
    <w:rsid w:val="00456C16"/>
    <w:rsid w:val="004628A2"/>
    <w:rsid w:val="00462EFA"/>
    <w:rsid w:val="004711A9"/>
    <w:rsid w:val="004770D4"/>
    <w:rsid w:val="00482136"/>
    <w:rsid w:val="00483CE4"/>
    <w:rsid w:val="004865AB"/>
    <w:rsid w:val="00487135"/>
    <w:rsid w:val="00490BE4"/>
    <w:rsid w:val="00493B36"/>
    <w:rsid w:val="00496999"/>
    <w:rsid w:val="004A4CF0"/>
    <w:rsid w:val="004A6F56"/>
    <w:rsid w:val="004B45CB"/>
    <w:rsid w:val="004B52C3"/>
    <w:rsid w:val="004C2354"/>
    <w:rsid w:val="004C2D12"/>
    <w:rsid w:val="004D3CD5"/>
    <w:rsid w:val="004D75F7"/>
    <w:rsid w:val="004E11AE"/>
    <w:rsid w:val="00505A29"/>
    <w:rsid w:val="00505EF4"/>
    <w:rsid w:val="00512B84"/>
    <w:rsid w:val="0053307A"/>
    <w:rsid w:val="00543233"/>
    <w:rsid w:val="005434B6"/>
    <w:rsid w:val="00545446"/>
    <w:rsid w:val="0055655D"/>
    <w:rsid w:val="00556C72"/>
    <w:rsid w:val="0056543C"/>
    <w:rsid w:val="00566FC1"/>
    <w:rsid w:val="00570912"/>
    <w:rsid w:val="00583A1C"/>
    <w:rsid w:val="005915A6"/>
    <w:rsid w:val="005A6D84"/>
    <w:rsid w:val="005A7AFE"/>
    <w:rsid w:val="005B1B92"/>
    <w:rsid w:val="005B3275"/>
    <w:rsid w:val="005B53C9"/>
    <w:rsid w:val="005B7666"/>
    <w:rsid w:val="005C05A7"/>
    <w:rsid w:val="005C1CEA"/>
    <w:rsid w:val="005C3E2C"/>
    <w:rsid w:val="005C70ED"/>
    <w:rsid w:val="005D056E"/>
    <w:rsid w:val="005D4E9D"/>
    <w:rsid w:val="005E120E"/>
    <w:rsid w:val="005E3198"/>
    <w:rsid w:val="005E329B"/>
    <w:rsid w:val="005E3919"/>
    <w:rsid w:val="00602D47"/>
    <w:rsid w:val="00607A9E"/>
    <w:rsid w:val="00622542"/>
    <w:rsid w:val="0062278C"/>
    <w:rsid w:val="0063070B"/>
    <w:rsid w:val="006349ED"/>
    <w:rsid w:val="006375CD"/>
    <w:rsid w:val="0065217F"/>
    <w:rsid w:val="0066427B"/>
    <w:rsid w:val="006656A0"/>
    <w:rsid w:val="0067265B"/>
    <w:rsid w:val="0067575E"/>
    <w:rsid w:val="00686981"/>
    <w:rsid w:val="00686B8C"/>
    <w:rsid w:val="00687FB4"/>
    <w:rsid w:val="00693754"/>
    <w:rsid w:val="00694E6A"/>
    <w:rsid w:val="00697930"/>
    <w:rsid w:val="00697F6B"/>
    <w:rsid w:val="006B25D5"/>
    <w:rsid w:val="006D27B3"/>
    <w:rsid w:val="006D36CA"/>
    <w:rsid w:val="006E78EA"/>
    <w:rsid w:val="006F0CA4"/>
    <w:rsid w:val="00710323"/>
    <w:rsid w:val="007272EE"/>
    <w:rsid w:val="007323CC"/>
    <w:rsid w:val="00733657"/>
    <w:rsid w:val="00734929"/>
    <w:rsid w:val="00740237"/>
    <w:rsid w:val="007408B9"/>
    <w:rsid w:val="00750D8F"/>
    <w:rsid w:val="00763D91"/>
    <w:rsid w:val="00764CF8"/>
    <w:rsid w:val="00765CDB"/>
    <w:rsid w:val="00773574"/>
    <w:rsid w:val="00773A44"/>
    <w:rsid w:val="007821FD"/>
    <w:rsid w:val="00783929"/>
    <w:rsid w:val="007846FF"/>
    <w:rsid w:val="007A17D3"/>
    <w:rsid w:val="007A35B9"/>
    <w:rsid w:val="007A5D3F"/>
    <w:rsid w:val="007B0121"/>
    <w:rsid w:val="007B0756"/>
    <w:rsid w:val="007B0D7F"/>
    <w:rsid w:val="007B59C5"/>
    <w:rsid w:val="007C50C2"/>
    <w:rsid w:val="007D5810"/>
    <w:rsid w:val="007D5D79"/>
    <w:rsid w:val="007D734B"/>
    <w:rsid w:val="007D7DCD"/>
    <w:rsid w:val="007E1315"/>
    <w:rsid w:val="007E4DBD"/>
    <w:rsid w:val="007E7439"/>
    <w:rsid w:val="007F0DA7"/>
    <w:rsid w:val="007F7F07"/>
    <w:rsid w:val="0080646D"/>
    <w:rsid w:val="008071F6"/>
    <w:rsid w:val="00807533"/>
    <w:rsid w:val="00811F94"/>
    <w:rsid w:val="00821576"/>
    <w:rsid w:val="0082217C"/>
    <w:rsid w:val="008432BB"/>
    <w:rsid w:val="008448DB"/>
    <w:rsid w:val="0084708A"/>
    <w:rsid w:val="0085040D"/>
    <w:rsid w:val="00852B28"/>
    <w:rsid w:val="008531CD"/>
    <w:rsid w:val="00856EDD"/>
    <w:rsid w:val="008575D9"/>
    <w:rsid w:val="00857E38"/>
    <w:rsid w:val="00872240"/>
    <w:rsid w:val="00873968"/>
    <w:rsid w:val="00875A28"/>
    <w:rsid w:val="00890F27"/>
    <w:rsid w:val="00891038"/>
    <w:rsid w:val="00892186"/>
    <w:rsid w:val="008B1795"/>
    <w:rsid w:val="008B3C3C"/>
    <w:rsid w:val="008B420C"/>
    <w:rsid w:val="008B4613"/>
    <w:rsid w:val="008B68FB"/>
    <w:rsid w:val="008C4B54"/>
    <w:rsid w:val="008E206C"/>
    <w:rsid w:val="008F2968"/>
    <w:rsid w:val="009232DA"/>
    <w:rsid w:val="0092520F"/>
    <w:rsid w:val="009277E2"/>
    <w:rsid w:val="00934615"/>
    <w:rsid w:val="00936370"/>
    <w:rsid w:val="00937878"/>
    <w:rsid w:val="009416E9"/>
    <w:rsid w:val="00942ECD"/>
    <w:rsid w:val="0094537B"/>
    <w:rsid w:val="009467F2"/>
    <w:rsid w:val="00947213"/>
    <w:rsid w:val="00953365"/>
    <w:rsid w:val="00953C53"/>
    <w:rsid w:val="00974616"/>
    <w:rsid w:val="009770F8"/>
    <w:rsid w:val="009801BB"/>
    <w:rsid w:val="00985BF6"/>
    <w:rsid w:val="009872B3"/>
    <w:rsid w:val="00993072"/>
    <w:rsid w:val="00993FA6"/>
    <w:rsid w:val="009949F4"/>
    <w:rsid w:val="00994D7E"/>
    <w:rsid w:val="009A2DBE"/>
    <w:rsid w:val="009A4FD5"/>
    <w:rsid w:val="009C216A"/>
    <w:rsid w:val="009D0BE0"/>
    <w:rsid w:val="009E0FEA"/>
    <w:rsid w:val="009E285A"/>
    <w:rsid w:val="009F5EE8"/>
    <w:rsid w:val="00A0161A"/>
    <w:rsid w:val="00A1207B"/>
    <w:rsid w:val="00A33C96"/>
    <w:rsid w:val="00A45F2C"/>
    <w:rsid w:val="00A55426"/>
    <w:rsid w:val="00A602BD"/>
    <w:rsid w:val="00A61735"/>
    <w:rsid w:val="00A65D7C"/>
    <w:rsid w:val="00A67B4C"/>
    <w:rsid w:val="00A75D3A"/>
    <w:rsid w:val="00A763A0"/>
    <w:rsid w:val="00A76BE6"/>
    <w:rsid w:val="00A77DCC"/>
    <w:rsid w:val="00A8345E"/>
    <w:rsid w:val="00A9598F"/>
    <w:rsid w:val="00AA0206"/>
    <w:rsid w:val="00AA53A0"/>
    <w:rsid w:val="00AA5FE2"/>
    <w:rsid w:val="00AB7646"/>
    <w:rsid w:val="00AC1B7F"/>
    <w:rsid w:val="00AD2F92"/>
    <w:rsid w:val="00AD6842"/>
    <w:rsid w:val="00AD7501"/>
    <w:rsid w:val="00AE2B53"/>
    <w:rsid w:val="00AF3DFE"/>
    <w:rsid w:val="00B05250"/>
    <w:rsid w:val="00B05EE5"/>
    <w:rsid w:val="00B12729"/>
    <w:rsid w:val="00B21B25"/>
    <w:rsid w:val="00B415A2"/>
    <w:rsid w:val="00B42BD2"/>
    <w:rsid w:val="00B44773"/>
    <w:rsid w:val="00B62683"/>
    <w:rsid w:val="00B668D4"/>
    <w:rsid w:val="00B6724A"/>
    <w:rsid w:val="00B728BF"/>
    <w:rsid w:val="00B90E85"/>
    <w:rsid w:val="00B91B39"/>
    <w:rsid w:val="00B940D8"/>
    <w:rsid w:val="00B953C9"/>
    <w:rsid w:val="00BA09BA"/>
    <w:rsid w:val="00BA121D"/>
    <w:rsid w:val="00BA5C71"/>
    <w:rsid w:val="00BB1889"/>
    <w:rsid w:val="00BC01C0"/>
    <w:rsid w:val="00BC2BD3"/>
    <w:rsid w:val="00BE31C3"/>
    <w:rsid w:val="00BE3A0D"/>
    <w:rsid w:val="00BE3BB9"/>
    <w:rsid w:val="00BF0951"/>
    <w:rsid w:val="00C100C7"/>
    <w:rsid w:val="00C10B27"/>
    <w:rsid w:val="00C1250A"/>
    <w:rsid w:val="00C15CF7"/>
    <w:rsid w:val="00C240EB"/>
    <w:rsid w:val="00C33054"/>
    <w:rsid w:val="00C36A1A"/>
    <w:rsid w:val="00C44627"/>
    <w:rsid w:val="00C52358"/>
    <w:rsid w:val="00C533FE"/>
    <w:rsid w:val="00C5745B"/>
    <w:rsid w:val="00C6422D"/>
    <w:rsid w:val="00C75C49"/>
    <w:rsid w:val="00C80594"/>
    <w:rsid w:val="00C8172D"/>
    <w:rsid w:val="00C86DBB"/>
    <w:rsid w:val="00C90860"/>
    <w:rsid w:val="00C92BF9"/>
    <w:rsid w:val="00C93FA1"/>
    <w:rsid w:val="00C9495B"/>
    <w:rsid w:val="00C95139"/>
    <w:rsid w:val="00CB315B"/>
    <w:rsid w:val="00CC1414"/>
    <w:rsid w:val="00CC228A"/>
    <w:rsid w:val="00CC34A5"/>
    <w:rsid w:val="00CC4E7C"/>
    <w:rsid w:val="00CC5A8A"/>
    <w:rsid w:val="00CD1BC5"/>
    <w:rsid w:val="00CD452C"/>
    <w:rsid w:val="00CE7BEC"/>
    <w:rsid w:val="00CF0096"/>
    <w:rsid w:val="00CF1400"/>
    <w:rsid w:val="00CF1DC8"/>
    <w:rsid w:val="00CF29D8"/>
    <w:rsid w:val="00CF6217"/>
    <w:rsid w:val="00CF6291"/>
    <w:rsid w:val="00CF6C05"/>
    <w:rsid w:val="00D0217A"/>
    <w:rsid w:val="00D034D7"/>
    <w:rsid w:val="00D03F91"/>
    <w:rsid w:val="00D109AE"/>
    <w:rsid w:val="00D11893"/>
    <w:rsid w:val="00D12E26"/>
    <w:rsid w:val="00D14025"/>
    <w:rsid w:val="00D20D2F"/>
    <w:rsid w:val="00D2290C"/>
    <w:rsid w:val="00D241F7"/>
    <w:rsid w:val="00D247A6"/>
    <w:rsid w:val="00D25446"/>
    <w:rsid w:val="00D30B37"/>
    <w:rsid w:val="00D32302"/>
    <w:rsid w:val="00D34CCC"/>
    <w:rsid w:val="00D42644"/>
    <w:rsid w:val="00D6217D"/>
    <w:rsid w:val="00D67C4E"/>
    <w:rsid w:val="00D71CB5"/>
    <w:rsid w:val="00D72EAF"/>
    <w:rsid w:val="00D72EF9"/>
    <w:rsid w:val="00D73B3F"/>
    <w:rsid w:val="00D745D9"/>
    <w:rsid w:val="00D96901"/>
    <w:rsid w:val="00DA6D5D"/>
    <w:rsid w:val="00DA71AF"/>
    <w:rsid w:val="00DA79B0"/>
    <w:rsid w:val="00DB14B5"/>
    <w:rsid w:val="00DB2EDE"/>
    <w:rsid w:val="00DB40B1"/>
    <w:rsid w:val="00DB5F58"/>
    <w:rsid w:val="00DD0B13"/>
    <w:rsid w:val="00DD0CD1"/>
    <w:rsid w:val="00DD27E2"/>
    <w:rsid w:val="00DE7EEF"/>
    <w:rsid w:val="00DF76E4"/>
    <w:rsid w:val="00E03B02"/>
    <w:rsid w:val="00E122F3"/>
    <w:rsid w:val="00E16B81"/>
    <w:rsid w:val="00E16CFA"/>
    <w:rsid w:val="00E240AD"/>
    <w:rsid w:val="00E244EF"/>
    <w:rsid w:val="00E32B9E"/>
    <w:rsid w:val="00E34193"/>
    <w:rsid w:val="00E34862"/>
    <w:rsid w:val="00E45A15"/>
    <w:rsid w:val="00E50049"/>
    <w:rsid w:val="00E566EB"/>
    <w:rsid w:val="00E640E9"/>
    <w:rsid w:val="00E67B9E"/>
    <w:rsid w:val="00E718DC"/>
    <w:rsid w:val="00E74DDA"/>
    <w:rsid w:val="00E7784B"/>
    <w:rsid w:val="00E8006C"/>
    <w:rsid w:val="00E94983"/>
    <w:rsid w:val="00EA0883"/>
    <w:rsid w:val="00EA09A0"/>
    <w:rsid w:val="00EC3D45"/>
    <w:rsid w:val="00ED3F74"/>
    <w:rsid w:val="00EE1374"/>
    <w:rsid w:val="00EE63DC"/>
    <w:rsid w:val="00EF039A"/>
    <w:rsid w:val="00EF0A70"/>
    <w:rsid w:val="00EF54EC"/>
    <w:rsid w:val="00F01976"/>
    <w:rsid w:val="00F16B4F"/>
    <w:rsid w:val="00F20B01"/>
    <w:rsid w:val="00F20BDA"/>
    <w:rsid w:val="00F243D7"/>
    <w:rsid w:val="00F31BBE"/>
    <w:rsid w:val="00F3347C"/>
    <w:rsid w:val="00F4138F"/>
    <w:rsid w:val="00F47E79"/>
    <w:rsid w:val="00F6343B"/>
    <w:rsid w:val="00F64154"/>
    <w:rsid w:val="00F64A2C"/>
    <w:rsid w:val="00F70835"/>
    <w:rsid w:val="00F72FA8"/>
    <w:rsid w:val="00F75507"/>
    <w:rsid w:val="00F75F3A"/>
    <w:rsid w:val="00F76B71"/>
    <w:rsid w:val="00F82B39"/>
    <w:rsid w:val="00F84A31"/>
    <w:rsid w:val="00F91BB4"/>
    <w:rsid w:val="00F91FF4"/>
    <w:rsid w:val="00FB177D"/>
    <w:rsid w:val="00FC11A7"/>
    <w:rsid w:val="00FC5571"/>
    <w:rsid w:val="00FC75F4"/>
    <w:rsid w:val="00FD0877"/>
    <w:rsid w:val="00FD18BF"/>
    <w:rsid w:val="00FD3FD9"/>
    <w:rsid w:val="00FD4680"/>
    <w:rsid w:val="00FE236A"/>
    <w:rsid w:val="00FE3939"/>
    <w:rsid w:val="00FE4247"/>
    <w:rsid w:val="00FE6E39"/>
    <w:rsid w:val="00FE71FF"/>
    <w:rsid w:val="00FF5FC2"/>
  </w:rsids>
  <m:mathPr>
    <m:mathFont m:val="Cambria Math"/>
    <m:brkBin m:val="before"/>
    <m:brkBinSub m:val="--"/>
    <m:smallFrac m:val="0"/>
    <m:dispDef/>
    <m:lMargin m:val="0"/>
    <m:rMargin m:val="0"/>
    <m:defJc m:val="centerGroup"/>
    <m:wrapIndent m:val="1440"/>
    <m:intLim m:val="subSup"/>
    <m:naryLim m:val="undOvr"/>
  </m:mathPr>
  <w:themeFontLang w:val="en-M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409BC"/>
  <w15:chartTrackingRefBased/>
  <w15:docId w15:val="{AADE5C91-99BA-4BE4-9632-BF5289BF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B27"/>
    <w:pPr>
      <w:ind w:firstLine="720"/>
      <w:contextualSpacing/>
    </w:pPr>
    <w:rPr>
      <w:rFonts w:ascii="Times New Roman" w:eastAsia="Times New Roman" w:hAnsi="Times New Roman" w:cs="Times New Roman"/>
      <w:sz w:val="24"/>
      <w:szCs w:val="24"/>
      <w:lang w:val="en-MT" w:eastAsia="en-MT"/>
    </w:rPr>
  </w:style>
  <w:style w:type="paragraph" w:styleId="Heading1">
    <w:name w:val="heading 1"/>
    <w:basedOn w:val="Normal"/>
    <w:next w:val="Normal"/>
    <w:link w:val="Heading1Char"/>
    <w:autoRedefine/>
    <w:qFormat/>
    <w:rsid w:val="001A0048"/>
    <w:pPr>
      <w:keepNext/>
      <w:keepLines/>
      <w:shd w:val="clear" w:color="auto" w:fill="FFFFFF"/>
      <w:ind w:firstLine="0"/>
      <w:jc w:val="center"/>
      <w:textAlignment w:val="baseline"/>
      <w:outlineLvl w:val="0"/>
    </w:pPr>
    <w:rPr>
      <w:rFonts w:eastAsiaTheme="majorEastAsia"/>
      <w:b/>
      <w:bCs/>
      <w:kern w:val="2"/>
      <w:sz w:val="32"/>
      <w:szCs w:val="32"/>
    </w:rPr>
  </w:style>
  <w:style w:type="paragraph" w:styleId="Heading2">
    <w:name w:val="heading 2"/>
    <w:basedOn w:val="Normal"/>
    <w:next w:val="Normal"/>
    <w:link w:val="Heading2Char"/>
    <w:autoRedefine/>
    <w:unhideWhenUsed/>
    <w:qFormat/>
    <w:rsid w:val="002D008C"/>
    <w:pPr>
      <w:keepNext/>
      <w:keepLines/>
      <w:ind w:firstLine="0"/>
      <w:jc w:val="center"/>
      <w:outlineLvl w:val="1"/>
    </w:pPr>
    <w:rPr>
      <w:rFonts w:eastAsiaTheme="majorEastAsia"/>
      <w:b/>
      <w:kern w:val="2"/>
      <w:lang w:val="en-GB" w:eastAsia="en-GB"/>
    </w:rPr>
  </w:style>
  <w:style w:type="paragraph" w:styleId="Heading3">
    <w:name w:val="heading 3"/>
    <w:basedOn w:val="Normal"/>
    <w:next w:val="Normal"/>
    <w:link w:val="Heading3Char"/>
    <w:autoRedefine/>
    <w:unhideWhenUsed/>
    <w:qFormat/>
    <w:rsid w:val="00890F27"/>
    <w:pPr>
      <w:keepNext/>
      <w:keepLines/>
      <w:ind w:firstLine="0"/>
      <w:outlineLvl w:val="2"/>
    </w:pPr>
    <w:rPr>
      <w:rFonts w:eastAsiaTheme="majorEastAsia" w:cstheme="majorBidi"/>
      <w:b/>
      <w:kern w:val="2"/>
      <w:lang w:val="en-GB" w:eastAsia="en-GB"/>
    </w:rPr>
  </w:style>
  <w:style w:type="paragraph" w:styleId="Heading4">
    <w:name w:val="heading 4"/>
    <w:basedOn w:val="Normal"/>
    <w:next w:val="Normal"/>
    <w:link w:val="Heading4Char"/>
    <w:unhideWhenUsed/>
    <w:qFormat/>
    <w:rsid w:val="0082217C"/>
    <w:pPr>
      <w:keepNext/>
      <w:keepLines/>
      <w:spacing w:before="80" w:after="40"/>
      <w:ind w:firstLine="0"/>
      <w:outlineLvl w:val="3"/>
    </w:pPr>
    <w:rPr>
      <w:rFonts w:eastAsiaTheme="majorEastAsia" w:cstheme="majorBidi"/>
      <w:b/>
      <w:i/>
      <w:iCs/>
      <w:color w:val="000000" w:themeColor="text1"/>
    </w:rPr>
  </w:style>
  <w:style w:type="paragraph" w:styleId="Heading5">
    <w:name w:val="heading 5"/>
    <w:basedOn w:val="Normal"/>
    <w:next w:val="Normal"/>
    <w:link w:val="Heading5Char"/>
    <w:unhideWhenUsed/>
    <w:qFormat/>
    <w:rsid w:val="00C10B2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nhideWhenUsed/>
    <w:qFormat/>
    <w:rsid w:val="00C10B2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C10B2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C10B2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C10B2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0048"/>
    <w:rPr>
      <w:rFonts w:ascii="Times New Roman" w:eastAsiaTheme="majorEastAsia" w:hAnsi="Times New Roman" w:cs="Times New Roman"/>
      <w:b/>
      <w:bCs/>
      <w:kern w:val="2"/>
      <w:sz w:val="32"/>
      <w:szCs w:val="32"/>
      <w:shd w:val="clear" w:color="auto" w:fill="FFFFFF"/>
      <w:lang w:val="en-MT" w:eastAsia="en-MT"/>
    </w:rPr>
  </w:style>
  <w:style w:type="character" w:customStyle="1" w:styleId="Heading2Char">
    <w:name w:val="Heading 2 Char"/>
    <w:basedOn w:val="DefaultParagraphFont"/>
    <w:link w:val="Heading2"/>
    <w:rsid w:val="002D008C"/>
    <w:rPr>
      <w:rFonts w:ascii="Times New Roman" w:eastAsiaTheme="majorEastAsia" w:hAnsi="Times New Roman" w:cs="Times New Roman"/>
      <w:b/>
      <w:kern w:val="2"/>
      <w:sz w:val="24"/>
      <w:szCs w:val="24"/>
      <w:lang w:eastAsia="en-GB"/>
    </w:rPr>
  </w:style>
  <w:style w:type="paragraph" w:customStyle="1" w:styleId="References">
    <w:name w:val="References"/>
    <w:basedOn w:val="Normal"/>
    <w:link w:val="ReferencesChar"/>
    <w:autoRedefine/>
    <w:qFormat/>
    <w:rsid w:val="007D734B"/>
    <w:pPr>
      <w:ind w:left="720" w:hanging="720"/>
    </w:pPr>
    <w:rPr>
      <w:rFonts w:eastAsiaTheme="majorEastAsia"/>
      <w:color w:val="222222"/>
      <w:kern w:val="2"/>
      <w:shd w:val="clear" w:color="auto" w:fill="FFFFFF"/>
      <w:lang w:val="mt-MT"/>
    </w:rPr>
  </w:style>
  <w:style w:type="character" w:customStyle="1" w:styleId="ReferencesChar">
    <w:name w:val="References Char"/>
    <w:basedOn w:val="DefaultParagraphFont"/>
    <w:link w:val="References"/>
    <w:rsid w:val="007D734B"/>
    <w:rPr>
      <w:rFonts w:ascii="Times New Roman" w:eastAsiaTheme="majorEastAsia" w:hAnsi="Times New Roman" w:cs="Times New Roman"/>
      <w:color w:val="222222"/>
      <w:kern w:val="2"/>
      <w:sz w:val="24"/>
      <w:szCs w:val="24"/>
      <w:lang w:val="mt-MT" w:eastAsia="en-MT"/>
    </w:rPr>
  </w:style>
  <w:style w:type="paragraph" w:styleId="TOC1">
    <w:name w:val="toc 1"/>
    <w:basedOn w:val="Normal"/>
    <w:next w:val="Normal"/>
    <w:autoRedefine/>
    <w:uiPriority w:val="39"/>
    <w:unhideWhenUsed/>
    <w:rsid w:val="009232DA"/>
  </w:style>
  <w:style w:type="paragraph" w:styleId="Caption">
    <w:name w:val="caption"/>
    <w:basedOn w:val="Normal"/>
    <w:next w:val="Normal"/>
    <w:autoRedefine/>
    <w:uiPriority w:val="35"/>
    <w:unhideWhenUsed/>
    <w:qFormat/>
    <w:rsid w:val="00BC01C0"/>
    <w:pPr>
      <w:ind w:firstLine="0"/>
      <w:jc w:val="center"/>
    </w:pPr>
    <w:rPr>
      <w:i/>
      <w:iCs/>
    </w:rPr>
  </w:style>
  <w:style w:type="character" w:customStyle="1" w:styleId="Heading3Char">
    <w:name w:val="Heading 3 Char"/>
    <w:basedOn w:val="DefaultParagraphFont"/>
    <w:link w:val="Heading3"/>
    <w:rsid w:val="00890F27"/>
    <w:rPr>
      <w:rFonts w:ascii="Times New Roman" w:eastAsiaTheme="majorEastAsia" w:hAnsi="Times New Roman" w:cstheme="majorBidi"/>
      <w:b/>
      <w:kern w:val="2"/>
      <w:sz w:val="24"/>
      <w:szCs w:val="24"/>
      <w:lang w:eastAsia="en-GB"/>
    </w:rPr>
  </w:style>
  <w:style w:type="paragraph" w:styleId="TableofFigures">
    <w:name w:val="table of figures"/>
    <w:basedOn w:val="Normal"/>
    <w:next w:val="Normal"/>
    <w:autoRedefine/>
    <w:uiPriority w:val="99"/>
    <w:unhideWhenUsed/>
    <w:qFormat/>
    <w:rsid w:val="00D42644"/>
  </w:style>
  <w:style w:type="paragraph" w:customStyle="1" w:styleId="Normal2forrubric">
    <w:name w:val="Normal 2 for rubric"/>
    <w:basedOn w:val="Normal"/>
    <w:link w:val="Normal2forrubricChar"/>
    <w:autoRedefine/>
    <w:qFormat/>
    <w:rsid w:val="00333A5F"/>
    <w:rPr>
      <w:rFonts w:cs="Arial"/>
      <w:bCs/>
      <w:lang w:val="mt-MT"/>
    </w:rPr>
  </w:style>
  <w:style w:type="character" w:customStyle="1" w:styleId="Normal2forrubricChar">
    <w:name w:val="Normal 2 for rubric Char"/>
    <w:basedOn w:val="DefaultParagraphFont"/>
    <w:link w:val="Normal2forrubric"/>
    <w:rsid w:val="00333A5F"/>
    <w:rPr>
      <w:rFonts w:ascii="Arial" w:hAnsi="Arial" w:cs="Arial"/>
      <w:bCs/>
      <w:color w:val="000000" w:themeColor="text1"/>
      <w:kern w:val="0"/>
      <w:sz w:val="24"/>
      <w:szCs w:val="24"/>
      <w:lang w:val="mt-MT"/>
    </w:rPr>
  </w:style>
  <w:style w:type="paragraph" w:customStyle="1" w:styleId="Figure">
    <w:name w:val="Figure"/>
    <w:basedOn w:val="Normal"/>
    <w:link w:val="FigureChar"/>
    <w:autoRedefine/>
    <w:qFormat/>
    <w:rsid w:val="00140B16"/>
    <w:rPr>
      <w:b/>
      <w:kern w:val="2"/>
    </w:rPr>
  </w:style>
  <w:style w:type="character" w:customStyle="1" w:styleId="FigureChar">
    <w:name w:val="Figure Char"/>
    <w:basedOn w:val="DefaultParagraphFont"/>
    <w:link w:val="Figure"/>
    <w:rsid w:val="00140B16"/>
    <w:rPr>
      <w:rFonts w:ascii="Times New Roman" w:hAnsi="Times New Roman"/>
      <w:b/>
      <w:color w:val="000000" w:themeColor="text1"/>
      <w:sz w:val="24"/>
    </w:rPr>
  </w:style>
  <w:style w:type="character" w:customStyle="1" w:styleId="Heading4Char">
    <w:name w:val="Heading 4 Char"/>
    <w:basedOn w:val="DefaultParagraphFont"/>
    <w:link w:val="Heading4"/>
    <w:rsid w:val="0082217C"/>
    <w:rPr>
      <w:rFonts w:ascii="Times New Roman" w:eastAsiaTheme="majorEastAsia" w:hAnsi="Times New Roman" w:cstheme="majorBidi"/>
      <w:b/>
      <w:i/>
      <w:iCs/>
      <w:color w:val="000000" w:themeColor="text1"/>
      <w:sz w:val="24"/>
      <w:szCs w:val="24"/>
      <w:lang w:val="en-MT" w:eastAsia="en-MT"/>
    </w:rPr>
  </w:style>
  <w:style w:type="character" w:customStyle="1" w:styleId="Heading5Char">
    <w:name w:val="Heading 5 Char"/>
    <w:basedOn w:val="DefaultParagraphFont"/>
    <w:link w:val="Heading5"/>
    <w:uiPriority w:val="9"/>
    <w:semiHidden/>
    <w:rsid w:val="00C10B27"/>
    <w:rPr>
      <w:rFonts w:eastAsiaTheme="majorEastAsia"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C10B27"/>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C10B27"/>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C10B27"/>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C10B27"/>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C10B27"/>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B27"/>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B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B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0B27"/>
    <w:rPr>
      <w:rFonts w:ascii="Bookman Old Style" w:hAnsi="Bookman Old Style" w:cs="Times New Roman"/>
      <w:i/>
      <w:iCs/>
      <w:color w:val="404040" w:themeColor="text1" w:themeTint="BF"/>
      <w:sz w:val="24"/>
      <w:szCs w:val="24"/>
    </w:rPr>
  </w:style>
  <w:style w:type="paragraph" w:styleId="ListParagraph">
    <w:name w:val="List Paragraph"/>
    <w:basedOn w:val="Normal"/>
    <w:uiPriority w:val="34"/>
    <w:qFormat/>
    <w:rsid w:val="00C10B27"/>
    <w:pPr>
      <w:ind w:left="720"/>
    </w:pPr>
  </w:style>
  <w:style w:type="character" w:styleId="IntenseEmphasis">
    <w:name w:val="Intense Emphasis"/>
    <w:basedOn w:val="DefaultParagraphFont"/>
    <w:uiPriority w:val="21"/>
    <w:qFormat/>
    <w:rsid w:val="00C10B27"/>
    <w:rPr>
      <w:i/>
      <w:iCs/>
      <w:color w:val="0F4761" w:themeColor="accent1" w:themeShade="BF"/>
    </w:rPr>
  </w:style>
  <w:style w:type="paragraph" w:styleId="IntenseQuote">
    <w:name w:val="Intense Quote"/>
    <w:basedOn w:val="Normal"/>
    <w:next w:val="Normal"/>
    <w:link w:val="IntenseQuoteChar"/>
    <w:uiPriority w:val="30"/>
    <w:qFormat/>
    <w:rsid w:val="00C10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0B27"/>
    <w:rPr>
      <w:rFonts w:ascii="Bookman Old Style" w:hAnsi="Bookman Old Style" w:cs="Times New Roman"/>
      <w:i/>
      <w:iCs/>
      <w:color w:val="0F4761" w:themeColor="accent1" w:themeShade="BF"/>
      <w:sz w:val="24"/>
      <w:szCs w:val="24"/>
    </w:rPr>
  </w:style>
  <w:style w:type="character" w:styleId="IntenseReference">
    <w:name w:val="Intense Reference"/>
    <w:basedOn w:val="DefaultParagraphFont"/>
    <w:uiPriority w:val="32"/>
    <w:qFormat/>
    <w:rsid w:val="00C10B27"/>
    <w:rPr>
      <w:b/>
      <w:bCs/>
      <w:smallCaps/>
      <w:color w:val="0F4761" w:themeColor="accent1" w:themeShade="BF"/>
      <w:spacing w:val="5"/>
    </w:rPr>
  </w:style>
  <w:style w:type="paragraph" w:styleId="NormalWeb">
    <w:name w:val="Normal (Web)"/>
    <w:basedOn w:val="Normal"/>
    <w:uiPriority w:val="99"/>
    <w:unhideWhenUsed/>
    <w:rsid w:val="00C10B27"/>
    <w:pPr>
      <w:spacing w:before="100" w:beforeAutospacing="1" w:after="100" w:afterAutospacing="1"/>
    </w:pPr>
    <w:rPr>
      <w:bCs/>
      <w:lang w:val="en-GB" w:eastAsia="en-GB"/>
    </w:rPr>
  </w:style>
  <w:style w:type="table" w:styleId="TableGrid">
    <w:name w:val="Table Grid"/>
    <w:basedOn w:val="TableNormal"/>
    <w:uiPriority w:val="39"/>
    <w:rsid w:val="00C10B27"/>
    <w:rPr>
      <w:kern w:val="2"/>
      <w:lang w:val="en-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10B27"/>
    <w:rPr>
      <w:b/>
      <w:bCs/>
    </w:rPr>
  </w:style>
  <w:style w:type="paragraph" w:customStyle="1" w:styleId="AuthorInfo">
    <w:name w:val="Author Info"/>
    <w:basedOn w:val="Normal"/>
    <w:rsid w:val="00C10B27"/>
    <w:pPr>
      <w:tabs>
        <w:tab w:val="right" w:pos="8640"/>
      </w:tabs>
      <w:spacing w:line="480" w:lineRule="auto"/>
      <w:jc w:val="center"/>
    </w:pPr>
    <w:rPr>
      <w:lang w:val="en-GB" w:eastAsia="en-GB"/>
    </w:rPr>
  </w:style>
  <w:style w:type="paragraph" w:customStyle="1" w:styleId="TitleOfPaperCover">
    <w:name w:val="TitleOfPaper_Cover"/>
    <w:basedOn w:val="Normal"/>
    <w:rsid w:val="00C10B27"/>
    <w:pPr>
      <w:keepNext/>
      <w:keepLines/>
      <w:tabs>
        <w:tab w:val="right" w:pos="8640"/>
      </w:tabs>
      <w:spacing w:line="480" w:lineRule="auto"/>
      <w:jc w:val="center"/>
    </w:pPr>
    <w:rPr>
      <w:szCs w:val="22"/>
      <w:lang w:val="en-GB" w:eastAsia="en-GB"/>
    </w:rPr>
  </w:style>
  <w:style w:type="paragraph" w:customStyle="1" w:styleId="AbstractText">
    <w:name w:val="Abstract Text"/>
    <w:basedOn w:val="BodyText"/>
    <w:rsid w:val="00C10B27"/>
    <w:pPr>
      <w:keepNext/>
      <w:tabs>
        <w:tab w:val="right" w:pos="8640"/>
      </w:tabs>
      <w:spacing w:after="0" w:line="480" w:lineRule="auto"/>
    </w:pPr>
    <w:rPr>
      <w:szCs w:val="22"/>
      <w:lang w:val="en-GB" w:eastAsia="en-GB"/>
    </w:rPr>
  </w:style>
  <w:style w:type="paragraph" w:styleId="BodyText">
    <w:name w:val="Body Text"/>
    <w:basedOn w:val="Normal"/>
    <w:link w:val="BodyTextChar"/>
    <w:uiPriority w:val="99"/>
    <w:semiHidden/>
    <w:unhideWhenUsed/>
    <w:rsid w:val="00C10B27"/>
    <w:pPr>
      <w:spacing w:after="120"/>
    </w:pPr>
  </w:style>
  <w:style w:type="character" w:customStyle="1" w:styleId="BodyTextChar">
    <w:name w:val="Body Text Char"/>
    <w:basedOn w:val="DefaultParagraphFont"/>
    <w:link w:val="BodyText"/>
    <w:uiPriority w:val="99"/>
    <w:semiHidden/>
    <w:rsid w:val="00C10B27"/>
    <w:rPr>
      <w:rFonts w:ascii="Bookman Old Style" w:eastAsia="Times New Roman" w:hAnsi="Bookman Old Style" w:cs="Times New Roman"/>
      <w:sz w:val="24"/>
      <w:szCs w:val="24"/>
      <w:lang w:val="en-MT" w:eastAsia="en-MT"/>
    </w:rPr>
  </w:style>
  <w:style w:type="paragraph" w:styleId="ListBullet">
    <w:name w:val="List Bullet"/>
    <w:basedOn w:val="Normal"/>
    <w:uiPriority w:val="99"/>
    <w:unhideWhenUsed/>
    <w:rsid w:val="005C1CEA"/>
    <w:pPr>
      <w:numPr>
        <w:numId w:val="7"/>
      </w:numPr>
    </w:pPr>
  </w:style>
  <w:style w:type="character" w:styleId="CommentReference">
    <w:name w:val="annotation reference"/>
    <w:basedOn w:val="DefaultParagraphFont"/>
    <w:uiPriority w:val="99"/>
    <w:semiHidden/>
    <w:unhideWhenUsed/>
    <w:rsid w:val="00177F79"/>
    <w:rPr>
      <w:sz w:val="16"/>
      <w:szCs w:val="16"/>
    </w:rPr>
  </w:style>
  <w:style w:type="paragraph" w:styleId="CommentText">
    <w:name w:val="annotation text"/>
    <w:basedOn w:val="Normal"/>
    <w:link w:val="CommentTextChar"/>
    <w:uiPriority w:val="99"/>
    <w:unhideWhenUsed/>
    <w:rsid w:val="00177F79"/>
    <w:rPr>
      <w:rFonts w:eastAsiaTheme="minorHAnsi" w:cstheme="minorBidi"/>
      <w:color w:val="000000" w:themeColor="text1"/>
      <w:sz w:val="20"/>
      <w:szCs w:val="20"/>
      <w:lang w:val="en-GB" w:eastAsia="en-US"/>
    </w:rPr>
  </w:style>
  <w:style w:type="character" w:customStyle="1" w:styleId="CommentTextChar">
    <w:name w:val="Comment Text Char"/>
    <w:basedOn w:val="DefaultParagraphFont"/>
    <w:link w:val="CommentText"/>
    <w:uiPriority w:val="99"/>
    <w:rsid w:val="00177F79"/>
    <w:rPr>
      <w:rFonts w:ascii="Times New Roman" w:hAnsi="Times New Roman"/>
      <w:color w:val="000000" w:themeColor="text1"/>
      <w:sz w:val="20"/>
      <w:szCs w:val="20"/>
    </w:rPr>
  </w:style>
  <w:style w:type="paragraph" w:styleId="Header">
    <w:name w:val="header"/>
    <w:basedOn w:val="Normal"/>
    <w:link w:val="HeaderChar"/>
    <w:uiPriority w:val="99"/>
    <w:unhideWhenUsed/>
    <w:rsid w:val="00BB1889"/>
    <w:pPr>
      <w:tabs>
        <w:tab w:val="center" w:pos="4513"/>
        <w:tab w:val="right" w:pos="9026"/>
      </w:tabs>
    </w:pPr>
  </w:style>
  <w:style w:type="character" w:customStyle="1" w:styleId="HeaderChar">
    <w:name w:val="Header Char"/>
    <w:basedOn w:val="DefaultParagraphFont"/>
    <w:link w:val="Header"/>
    <w:uiPriority w:val="99"/>
    <w:rsid w:val="00BB1889"/>
    <w:rPr>
      <w:rFonts w:ascii="Times New Roman" w:eastAsia="Times New Roman" w:hAnsi="Times New Roman" w:cs="Times New Roman"/>
      <w:sz w:val="24"/>
      <w:szCs w:val="24"/>
      <w:lang w:val="en-MT" w:eastAsia="en-MT"/>
    </w:rPr>
  </w:style>
  <w:style w:type="paragraph" w:styleId="Footer">
    <w:name w:val="footer"/>
    <w:basedOn w:val="Normal"/>
    <w:link w:val="FooterChar"/>
    <w:uiPriority w:val="99"/>
    <w:unhideWhenUsed/>
    <w:rsid w:val="00BB1889"/>
    <w:pPr>
      <w:tabs>
        <w:tab w:val="center" w:pos="4513"/>
        <w:tab w:val="right" w:pos="9026"/>
      </w:tabs>
    </w:pPr>
  </w:style>
  <w:style w:type="character" w:customStyle="1" w:styleId="FooterChar">
    <w:name w:val="Footer Char"/>
    <w:basedOn w:val="DefaultParagraphFont"/>
    <w:link w:val="Footer"/>
    <w:uiPriority w:val="99"/>
    <w:rsid w:val="00BB1889"/>
    <w:rPr>
      <w:rFonts w:ascii="Times New Roman" w:eastAsia="Times New Roman" w:hAnsi="Times New Roman" w:cs="Times New Roman"/>
      <w:sz w:val="24"/>
      <w:szCs w:val="24"/>
      <w:lang w:val="en-MT" w:eastAsia="en-MT"/>
    </w:rPr>
  </w:style>
  <w:style w:type="character" w:styleId="Emphasis">
    <w:name w:val="Emphasis"/>
    <w:basedOn w:val="DefaultParagraphFont"/>
    <w:uiPriority w:val="20"/>
    <w:qFormat/>
    <w:rsid w:val="00287B80"/>
    <w:rPr>
      <w:i/>
      <w:iCs/>
    </w:rPr>
  </w:style>
  <w:style w:type="character" w:styleId="Hyperlink">
    <w:name w:val="Hyperlink"/>
    <w:basedOn w:val="DefaultParagraphFont"/>
    <w:uiPriority w:val="99"/>
    <w:unhideWhenUsed/>
    <w:rsid w:val="00287B80"/>
    <w:rPr>
      <w:color w:val="0000FF"/>
      <w:u w:val="single"/>
    </w:rPr>
  </w:style>
  <w:style w:type="character" w:styleId="UnresolvedMention">
    <w:name w:val="Unresolved Mention"/>
    <w:basedOn w:val="DefaultParagraphFont"/>
    <w:uiPriority w:val="99"/>
    <w:semiHidden/>
    <w:unhideWhenUsed/>
    <w:rsid w:val="00DB40B1"/>
    <w:rPr>
      <w:color w:val="605E5C"/>
      <w:shd w:val="clear" w:color="auto" w:fill="E1DFDD"/>
    </w:rPr>
  </w:style>
  <w:style w:type="character" w:styleId="FollowedHyperlink">
    <w:name w:val="FollowedHyperlink"/>
    <w:basedOn w:val="DefaultParagraphFont"/>
    <w:uiPriority w:val="99"/>
    <w:semiHidden/>
    <w:unhideWhenUsed/>
    <w:rsid w:val="00583A1C"/>
    <w:rPr>
      <w:color w:val="96607D" w:themeColor="followedHyperlink"/>
      <w:u w:val="single"/>
    </w:rPr>
  </w:style>
  <w:style w:type="character" w:customStyle="1" w:styleId="anchor-text">
    <w:name w:val="anchor-text"/>
    <w:basedOn w:val="DefaultParagraphFont"/>
    <w:rsid w:val="0067575E"/>
  </w:style>
  <w:style w:type="character" w:customStyle="1" w:styleId="fal6plv">
    <w:name w:val="fal6plv"/>
    <w:basedOn w:val="DefaultParagraphFont"/>
    <w:rsid w:val="007D7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2444">
      <w:bodyDiv w:val="1"/>
      <w:marLeft w:val="0"/>
      <w:marRight w:val="0"/>
      <w:marTop w:val="0"/>
      <w:marBottom w:val="0"/>
      <w:divBdr>
        <w:top w:val="none" w:sz="0" w:space="0" w:color="auto"/>
        <w:left w:val="none" w:sz="0" w:space="0" w:color="auto"/>
        <w:bottom w:val="none" w:sz="0" w:space="0" w:color="auto"/>
        <w:right w:val="none" w:sz="0" w:space="0" w:color="auto"/>
      </w:divBdr>
    </w:div>
    <w:div w:id="103039003">
      <w:bodyDiv w:val="1"/>
      <w:marLeft w:val="0"/>
      <w:marRight w:val="0"/>
      <w:marTop w:val="0"/>
      <w:marBottom w:val="0"/>
      <w:divBdr>
        <w:top w:val="none" w:sz="0" w:space="0" w:color="auto"/>
        <w:left w:val="none" w:sz="0" w:space="0" w:color="auto"/>
        <w:bottom w:val="none" w:sz="0" w:space="0" w:color="auto"/>
        <w:right w:val="none" w:sz="0" w:space="0" w:color="auto"/>
      </w:divBdr>
    </w:div>
    <w:div w:id="619843844">
      <w:bodyDiv w:val="1"/>
      <w:marLeft w:val="0"/>
      <w:marRight w:val="0"/>
      <w:marTop w:val="0"/>
      <w:marBottom w:val="0"/>
      <w:divBdr>
        <w:top w:val="none" w:sz="0" w:space="0" w:color="auto"/>
        <w:left w:val="none" w:sz="0" w:space="0" w:color="auto"/>
        <w:bottom w:val="none" w:sz="0" w:space="0" w:color="auto"/>
        <w:right w:val="none" w:sz="0" w:space="0" w:color="auto"/>
      </w:divBdr>
    </w:div>
    <w:div w:id="779034170">
      <w:bodyDiv w:val="1"/>
      <w:marLeft w:val="0"/>
      <w:marRight w:val="0"/>
      <w:marTop w:val="0"/>
      <w:marBottom w:val="0"/>
      <w:divBdr>
        <w:top w:val="none" w:sz="0" w:space="0" w:color="auto"/>
        <w:left w:val="none" w:sz="0" w:space="0" w:color="auto"/>
        <w:bottom w:val="none" w:sz="0" w:space="0" w:color="auto"/>
        <w:right w:val="none" w:sz="0" w:space="0" w:color="auto"/>
      </w:divBdr>
    </w:div>
    <w:div w:id="851990514">
      <w:bodyDiv w:val="1"/>
      <w:marLeft w:val="0"/>
      <w:marRight w:val="0"/>
      <w:marTop w:val="0"/>
      <w:marBottom w:val="0"/>
      <w:divBdr>
        <w:top w:val="none" w:sz="0" w:space="0" w:color="auto"/>
        <w:left w:val="none" w:sz="0" w:space="0" w:color="auto"/>
        <w:bottom w:val="none" w:sz="0" w:space="0" w:color="auto"/>
        <w:right w:val="none" w:sz="0" w:space="0" w:color="auto"/>
      </w:divBdr>
    </w:div>
    <w:div w:id="868569364">
      <w:bodyDiv w:val="1"/>
      <w:marLeft w:val="0"/>
      <w:marRight w:val="0"/>
      <w:marTop w:val="0"/>
      <w:marBottom w:val="0"/>
      <w:divBdr>
        <w:top w:val="none" w:sz="0" w:space="0" w:color="auto"/>
        <w:left w:val="none" w:sz="0" w:space="0" w:color="auto"/>
        <w:bottom w:val="none" w:sz="0" w:space="0" w:color="auto"/>
        <w:right w:val="none" w:sz="0" w:space="0" w:color="auto"/>
      </w:divBdr>
    </w:div>
    <w:div w:id="904414533">
      <w:bodyDiv w:val="1"/>
      <w:marLeft w:val="0"/>
      <w:marRight w:val="0"/>
      <w:marTop w:val="0"/>
      <w:marBottom w:val="0"/>
      <w:divBdr>
        <w:top w:val="none" w:sz="0" w:space="0" w:color="auto"/>
        <w:left w:val="none" w:sz="0" w:space="0" w:color="auto"/>
        <w:bottom w:val="none" w:sz="0" w:space="0" w:color="auto"/>
        <w:right w:val="none" w:sz="0" w:space="0" w:color="auto"/>
      </w:divBdr>
    </w:div>
    <w:div w:id="905073201">
      <w:bodyDiv w:val="1"/>
      <w:marLeft w:val="0"/>
      <w:marRight w:val="0"/>
      <w:marTop w:val="0"/>
      <w:marBottom w:val="0"/>
      <w:divBdr>
        <w:top w:val="none" w:sz="0" w:space="0" w:color="auto"/>
        <w:left w:val="none" w:sz="0" w:space="0" w:color="auto"/>
        <w:bottom w:val="none" w:sz="0" w:space="0" w:color="auto"/>
        <w:right w:val="none" w:sz="0" w:space="0" w:color="auto"/>
      </w:divBdr>
    </w:div>
    <w:div w:id="911935783">
      <w:bodyDiv w:val="1"/>
      <w:marLeft w:val="0"/>
      <w:marRight w:val="0"/>
      <w:marTop w:val="0"/>
      <w:marBottom w:val="0"/>
      <w:divBdr>
        <w:top w:val="none" w:sz="0" w:space="0" w:color="auto"/>
        <w:left w:val="none" w:sz="0" w:space="0" w:color="auto"/>
        <w:bottom w:val="none" w:sz="0" w:space="0" w:color="auto"/>
        <w:right w:val="none" w:sz="0" w:space="0" w:color="auto"/>
      </w:divBdr>
    </w:div>
    <w:div w:id="1062412951">
      <w:bodyDiv w:val="1"/>
      <w:marLeft w:val="0"/>
      <w:marRight w:val="0"/>
      <w:marTop w:val="0"/>
      <w:marBottom w:val="0"/>
      <w:divBdr>
        <w:top w:val="none" w:sz="0" w:space="0" w:color="auto"/>
        <w:left w:val="none" w:sz="0" w:space="0" w:color="auto"/>
        <w:bottom w:val="none" w:sz="0" w:space="0" w:color="auto"/>
        <w:right w:val="none" w:sz="0" w:space="0" w:color="auto"/>
      </w:divBdr>
    </w:div>
    <w:div w:id="1093935627">
      <w:bodyDiv w:val="1"/>
      <w:marLeft w:val="0"/>
      <w:marRight w:val="0"/>
      <w:marTop w:val="0"/>
      <w:marBottom w:val="0"/>
      <w:divBdr>
        <w:top w:val="none" w:sz="0" w:space="0" w:color="auto"/>
        <w:left w:val="none" w:sz="0" w:space="0" w:color="auto"/>
        <w:bottom w:val="none" w:sz="0" w:space="0" w:color="auto"/>
        <w:right w:val="none" w:sz="0" w:space="0" w:color="auto"/>
      </w:divBdr>
    </w:div>
    <w:div w:id="1154880039">
      <w:bodyDiv w:val="1"/>
      <w:marLeft w:val="0"/>
      <w:marRight w:val="0"/>
      <w:marTop w:val="0"/>
      <w:marBottom w:val="0"/>
      <w:divBdr>
        <w:top w:val="none" w:sz="0" w:space="0" w:color="auto"/>
        <w:left w:val="none" w:sz="0" w:space="0" w:color="auto"/>
        <w:bottom w:val="none" w:sz="0" w:space="0" w:color="auto"/>
        <w:right w:val="none" w:sz="0" w:space="0" w:color="auto"/>
      </w:divBdr>
    </w:div>
    <w:div w:id="1259563770">
      <w:bodyDiv w:val="1"/>
      <w:marLeft w:val="0"/>
      <w:marRight w:val="0"/>
      <w:marTop w:val="0"/>
      <w:marBottom w:val="0"/>
      <w:divBdr>
        <w:top w:val="none" w:sz="0" w:space="0" w:color="auto"/>
        <w:left w:val="none" w:sz="0" w:space="0" w:color="auto"/>
        <w:bottom w:val="none" w:sz="0" w:space="0" w:color="auto"/>
        <w:right w:val="none" w:sz="0" w:space="0" w:color="auto"/>
      </w:divBdr>
    </w:div>
    <w:div w:id="1286698972">
      <w:bodyDiv w:val="1"/>
      <w:marLeft w:val="0"/>
      <w:marRight w:val="0"/>
      <w:marTop w:val="0"/>
      <w:marBottom w:val="0"/>
      <w:divBdr>
        <w:top w:val="none" w:sz="0" w:space="0" w:color="auto"/>
        <w:left w:val="none" w:sz="0" w:space="0" w:color="auto"/>
        <w:bottom w:val="none" w:sz="0" w:space="0" w:color="auto"/>
        <w:right w:val="none" w:sz="0" w:space="0" w:color="auto"/>
      </w:divBdr>
    </w:div>
    <w:div w:id="1507481613">
      <w:bodyDiv w:val="1"/>
      <w:marLeft w:val="0"/>
      <w:marRight w:val="0"/>
      <w:marTop w:val="0"/>
      <w:marBottom w:val="0"/>
      <w:divBdr>
        <w:top w:val="none" w:sz="0" w:space="0" w:color="auto"/>
        <w:left w:val="none" w:sz="0" w:space="0" w:color="auto"/>
        <w:bottom w:val="none" w:sz="0" w:space="0" w:color="auto"/>
        <w:right w:val="none" w:sz="0" w:space="0" w:color="auto"/>
      </w:divBdr>
    </w:div>
    <w:div w:id="1560705501">
      <w:bodyDiv w:val="1"/>
      <w:marLeft w:val="0"/>
      <w:marRight w:val="0"/>
      <w:marTop w:val="0"/>
      <w:marBottom w:val="0"/>
      <w:divBdr>
        <w:top w:val="none" w:sz="0" w:space="0" w:color="auto"/>
        <w:left w:val="none" w:sz="0" w:space="0" w:color="auto"/>
        <w:bottom w:val="none" w:sz="0" w:space="0" w:color="auto"/>
        <w:right w:val="none" w:sz="0" w:space="0" w:color="auto"/>
      </w:divBdr>
    </w:div>
    <w:div w:id="1593318082">
      <w:bodyDiv w:val="1"/>
      <w:marLeft w:val="0"/>
      <w:marRight w:val="0"/>
      <w:marTop w:val="0"/>
      <w:marBottom w:val="0"/>
      <w:divBdr>
        <w:top w:val="none" w:sz="0" w:space="0" w:color="auto"/>
        <w:left w:val="none" w:sz="0" w:space="0" w:color="auto"/>
        <w:bottom w:val="none" w:sz="0" w:space="0" w:color="auto"/>
        <w:right w:val="none" w:sz="0" w:space="0" w:color="auto"/>
      </w:divBdr>
      <w:divsChild>
        <w:div w:id="2109427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252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9521842">
      <w:bodyDiv w:val="1"/>
      <w:marLeft w:val="0"/>
      <w:marRight w:val="0"/>
      <w:marTop w:val="0"/>
      <w:marBottom w:val="0"/>
      <w:divBdr>
        <w:top w:val="none" w:sz="0" w:space="0" w:color="auto"/>
        <w:left w:val="none" w:sz="0" w:space="0" w:color="auto"/>
        <w:bottom w:val="none" w:sz="0" w:space="0" w:color="auto"/>
        <w:right w:val="none" w:sz="0" w:space="0" w:color="auto"/>
      </w:divBdr>
    </w:div>
    <w:div w:id="1876500581">
      <w:bodyDiv w:val="1"/>
      <w:marLeft w:val="0"/>
      <w:marRight w:val="0"/>
      <w:marTop w:val="0"/>
      <w:marBottom w:val="0"/>
      <w:divBdr>
        <w:top w:val="none" w:sz="0" w:space="0" w:color="auto"/>
        <w:left w:val="none" w:sz="0" w:space="0" w:color="auto"/>
        <w:bottom w:val="none" w:sz="0" w:space="0" w:color="auto"/>
        <w:right w:val="none" w:sz="0" w:space="0" w:color="auto"/>
      </w:divBdr>
      <w:divsChild>
        <w:div w:id="1794128780">
          <w:blockQuote w:val="1"/>
          <w:marLeft w:val="720"/>
          <w:marRight w:val="720"/>
          <w:marTop w:val="100"/>
          <w:marBottom w:val="100"/>
          <w:divBdr>
            <w:top w:val="none" w:sz="0" w:space="0" w:color="auto"/>
            <w:left w:val="none" w:sz="0" w:space="0" w:color="auto"/>
            <w:bottom w:val="none" w:sz="0" w:space="0" w:color="auto"/>
            <w:right w:val="none" w:sz="0" w:space="0" w:color="auto"/>
          </w:divBdr>
        </w:div>
        <w:div w:id="53431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9233800">
      <w:bodyDiv w:val="1"/>
      <w:marLeft w:val="0"/>
      <w:marRight w:val="0"/>
      <w:marTop w:val="0"/>
      <w:marBottom w:val="0"/>
      <w:divBdr>
        <w:top w:val="none" w:sz="0" w:space="0" w:color="auto"/>
        <w:left w:val="none" w:sz="0" w:space="0" w:color="auto"/>
        <w:bottom w:val="none" w:sz="0" w:space="0" w:color="auto"/>
        <w:right w:val="none" w:sz="0" w:space="0" w:color="auto"/>
      </w:divBdr>
    </w:div>
    <w:div w:id="213648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oi.org/10.1136/fmch-2018-000057" TargetMode="External"/><Relationship Id="rId21" Type="http://schemas.openxmlformats.org/officeDocument/2006/relationships/hyperlink" Target="https://doi.org/10.1007/978-3-030-74037-6" TargetMode="External"/><Relationship Id="rId42" Type="http://schemas.openxmlformats.org/officeDocument/2006/relationships/hyperlink" Target="https://doi.org/10.3390/brainsci12121622" TargetMode="External"/><Relationship Id="rId47" Type="http://schemas.openxmlformats.org/officeDocument/2006/relationships/hyperlink" Target="https://www.k12digest.com/supporting-mental-health-and-academic-outcomes-for-learners-through-metacognition-in-practice/" TargetMode="External"/><Relationship Id="rId63" Type="http://schemas.openxmlformats.org/officeDocument/2006/relationships/hyperlink" Target="https://doi.org/10.2147/PRBM.S382572" TargetMode="External"/><Relationship Id="rId68" Type="http://schemas.openxmlformats.org/officeDocument/2006/relationships/hyperlink" Target="https://edisciplinas.usp.br/pluginfile.php/8114061/mod_resource/content/1/Research_Methods_for_Business_Students__5th_Edition_saunders.pdf" TargetMode="External"/><Relationship Id="rId84" Type="http://schemas.openxmlformats.org/officeDocument/2006/relationships/theme" Target="theme/theme1.xml"/><Relationship Id="rId16" Type="http://schemas.openxmlformats.org/officeDocument/2006/relationships/hyperlink" Target="https://www.doi.org/10.1080/08870446.2021.2039437" TargetMode="External"/><Relationship Id="rId11" Type="http://schemas.openxmlformats.org/officeDocument/2006/relationships/hyperlink" Target="https://www.um.edu.mt/library/oar/handle/123456789/111870" TargetMode="External"/><Relationship Id="rId32" Type="http://schemas.openxmlformats.org/officeDocument/2006/relationships/hyperlink" Target="https://doi.org/10.1177/0013175X14561420" TargetMode="External"/><Relationship Id="rId37" Type="http://schemas.openxmlformats.org/officeDocument/2006/relationships/hyperlink" Target="https://doi.org/10.1108/K-01-2022-0063" TargetMode="External"/><Relationship Id="rId53" Type="http://schemas.openxmlformats.org/officeDocument/2006/relationships/hyperlink" Target="https://www.doi.org/10.1016/j.lindif.2011.09.015" TargetMode="External"/><Relationship Id="rId58" Type="http://schemas.openxmlformats.org/officeDocument/2006/relationships/hyperlink" Target="https://meyr.gov.mt/education-strategy-2024-2030" TargetMode="External"/><Relationship Id="rId74" Type="http://schemas.openxmlformats.org/officeDocument/2006/relationships/hyperlink" Target="https://doi.org/10.1093/oso/9780190095888.001.0001" TargetMode="External"/><Relationship Id="rId79" Type="http://schemas.openxmlformats.org/officeDocument/2006/relationships/hyperlink" Target="http://dergipark.org.tr/rep" TargetMode="External"/><Relationship Id="rId5" Type="http://schemas.openxmlformats.org/officeDocument/2006/relationships/footnotes" Target="footnotes.xml"/><Relationship Id="rId61" Type="http://schemas.openxmlformats.org/officeDocument/2006/relationships/hyperlink" Target="https://doi.org/10.1037/pspp0000223" TargetMode="External"/><Relationship Id="rId82" Type="http://schemas.openxmlformats.org/officeDocument/2006/relationships/footer" Target="footer1.xml"/><Relationship Id="rId19" Type="http://schemas.openxmlformats.org/officeDocument/2006/relationships/hyperlink" Target="https://eric.ed.gov/?id=ED647441" TargetMode="External"/><Relationship Id="rId14" Type="http://schemas.openxmlformats.org/officeDocument/2006/relationships/hyperlink" Target="https://doi.org/10.1016/j.paid.2010.08.008" TargetMode="External"/><Relationship Id="rId22" Type="http://schemas.openxmlformats.org/officeDocument/2006/relationships/hyperlink" Target="https://doi.org/10.1093/oso/9780190095888.003.0016" TargetMode="External"/><Relationship Id="rId27" Type="http://schemas.openxmlformats.org/officeDocument/2006/relationships/hyperlink" Target="https://doi.org/10.4135/9781526402660" TargetMode="External"/><Relationship Id="rId30" Type="http://schemas.openxmlformats.org/officeDocument/2006/relationships/hyperlink" Target="https://doi.org/10.3991/ijet.v15i21.14907" TargetMode="External"/><Relationship Id="rId35" Type="http://schemas.openxmlformats.org/officeDocument/2006/relationships/hyperlink" Target="https://eurydice.eacea.ec.europa.eu/national-education-systems/malta/initial-education-academic-staff-higher-education" TargetMode="External"/><Relationship Id="rId43" Type="http://schemas.openxmlformats.org/officeDocument/2006/relationships/hyperlink" Target="https://doi.org/10.1080/1047840X.2014.972229" TargetMode="External"/><Relationship Id="rId48" Type="http://schemas.openxmlformats.org/officeDocument/2006/relationships/hyperlink" Target="https://doi.org/10.1080/00131911.2022.2156845" TargetMode="External"/><Relationship Id="rId56" Type="http://schemas.openxmlformats.org/officeDocument/2006/relationships/hyperlink" Target="https://doi.org/10.4073/csr.2015.12" TargetMode="External"/><Relationship Id="rId64" Type="http://schemas.openxmlformats.org/officeDocument/2006/relationships/hyperlink" Target="https://doi.org/10.52403/ijrr.20210646" TargetMode="External"/><Relationship Id="rId69" Type="http://schemas.openxmlformats.org/officeDocument/2006/relationships/hyperlink" Target="https://doi.org/10.1146/annurev.psych.58.110405.085705" TargetMode="External"/><Relationship Id="rId77" Type="http://schemas.openxmlformats.org/officeDocument/2006/relationships/hyperlink" Target="https://doi.org/10.3389/fnbeh.2023.1174585" TargetMode="External"/><Relationship Id="rId8" Type="http://schemas.openxmlformats.org/officeDocument/2006/relationships/image" Target="media/image2.png"/><Relationship Id="rId51" Type="http://schemas.openxmlformats.org/officeDocument/2006/relationships/hyperlink" Target="https://doi.org/10.4324/9780203774595" TargetMode="External"/><Relationship Id="rId72" Type="http://schemas.openxmlformats.org/officeDocument/2006/relationships/hyperlink" Target="https://doi.org/10.2147/PRBM.S254258" TargetMode="External"/><Relationship Id="rId80" Type="http://schemas.openxmlformats.org/officeDocument/2006/relationships/hyperlink" Target="https://doi.org/10.1080/00461520.2012.722805" TargetMode="External"/><Relationship Id="rId3" Type="http://schemas.openxmlformats.org/officeDocument/2006/relationships/settings" Target="settings.xml"/><Relationship Id="rId12" Type="http://schemas.openxmlformats.org/officeDocument/2006/relationships/hyperlink" Target="https://doi.org/10.3390/su15021628" TargetMode="External"/><Relationship Id="rId17" Type="http://schemas.openxmlformats.org/officeDocument/2006/relationships/hyperlink" Target="https://www.doi.org/10.1080/07294360.2021.1877622" TargetMode="External"/><Relationship Id="rId25" Type="http://schemas.openxmlformats.org/officeDocument/2006/relationships/hyperlink" Target="https://pubhtml5.com/enuk/cykh/Creswell_and_Poth%2C_2018%2C_Qualitative_Inquiry_4th/" TargetMode="External"/><Relationship Id="rId33" Type="http://schemas.openxmlformats.org/officeDocument/2006/relationships/hyperlink" Target="https://doi.org/10.55248/gengpi.5.1224.3568" TargetMode="External"/><Relationship Id="rId38" Type="http://schemas.openxmlformats.org/officeDocument/2006/relationships/hyperlink" Target="https://doi.org/10.1037/0003-066X.34.10.906" TargetMode="External"/><Relationship Id="rId46" Type="http://schemas.openxmlformats.org/officeDocument/2006/relationships/hyperlink" Target="https://doi.org/10.5204/ssj.3268" TargetMode="External"/><Relationship Id="rId59" Type="http://schemas.openxmlformats.org/officeDocument/2006/relationships/hyperlink" Target="https://doi.org/10.1111/cdev.12734" TargetMode="External"/><Relationship Id="rId67" Type="http://schemas.openxmlformats.org/officeDocument/2006/relationships/hyperlink" Target="https://doi.org/10.1016/j.tine.2018.07.003" TargetMode="External"/><Relationship Id="rId20" Type="http://schemas.openxmlformats.org/officeDocument/2006/relationships/hyperlink" Target="https://doi.org/10.3389/fpsyg.2015.01781" TargetMode="External"/><Relationship Id="rId41" Type="http://schemas.openxmlformats.org/officeDocument/2006/relationships/hyperlink" Target="https://doi.org/10.3138/jmvfh-2020-0051" TargetMode="External"/><Relationship Id="rId54" Type="http://schemas.openxmlformats.org/officeDocument/2006/relationships/hyperlink" Target="https://doi.org/10.1037/edu0000282" TargetMode="External"/><Relationship Id="rId62" Type="http://schemas.openxmlformats.org/officeDocument/2006/relationships/hyperlink" Target="https://nso.gov.mt/students-in-post-secondary-and-tertiary-education-2022-2023/" TargetMode="External"/><Relationship Id="rId70" Type="http://schemas.openxmlformats.org/officeDocument/2006/relationships/hyperlink" Target="https://doi.org/10.1002/jaal.756" TargetMode="External"/><Relationship Id="rId75" Type="http://schemas.openxmlformats.org/officeDocument/2006/relationships/hyperlink" Target="https://doi.org/10.35844/001c.13244"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80/87567555.2013.831022" TargetMode="External"/><Relationship Id="rId23" Type="http://schemas.openxmlformats.org/officeDocument/2006/relationships/hyperlink" Target="https://iahrw.org/our-services/journals/indian-journal-of-health-wellbeing/" TargetMode="External"/><Relationship Id="rId28" Type="http://schemas.openxmlformats.org/officeDocument/2006/relationships/hyperlink" Target="https://doi.org/10.3390/educsci14070711" TargetMode="External"/><Relationship Id="rId36" Type="http://schemas.openxmlformats.org/officeDocument/2006/relationships/hyperlink" Target="https://eur-lex.europa.eu/eli/reg/2016/679/oj" TargetMode="External"/><Relationship Id="rId49" Type="http://schemas.openxmlformats.org/officeDocument/2006/relationships/hyperlink" Target="https://doi.org/10.5430/ijhe.v6n5p26" TargetMode="External"/><Relationship Id="rId57" Type="http://schemas.openxmlformats.org/officeDocument/2006/relationships/hyperlink" Target="https://education.gov.mt/en/Documents/Publications/PostSecondaryEducationMalta_Gozo.pdf" TargetMode="External"/><Relationship Id="rId10" Type="http://schemas.openxmlformats.org/officeDocument/2006/relationships/hyperlink" Target="https://doi.org/10.1007/s11133-019-9413-7" TargetMode="External"/><Relationship Id="rId31" Type="http://schemas.openxmlformats.org/officeDocument/2006/relationships/hyperlink" Target="https://doi.org/10.1111/j.1467-8624.2010.01564.x" TargetMode="External"/><Relationship Id="rId44" Type="http://schemas.openxmlformats.org/officeDocument/2006/relationships/hyperlink" Target="https://doi.org/10.1007/s10648-024-09930-w" TargetMode="External"/><Relationship Id="rId52" Type="http://schemas.openxmlformats.org/officeDocument/2006/relationships/hyperlink" Target="https://www.doi.org/10.70088/bmq18v35" TargetMode="External"/><Relationship Id="rId60" Type="http://schemas.openxmlformats.org/officeDocument/2006/relationships/hyperlink" Target="https://doi.org/10.47766/jetlee.v3i1.1276" TargetMode="External"/><Relationship Id="rId65" Type="http://schemas.openxmlformats.org/officeDocument/2006/relationships/hyperlink" Target="https://doi.org/10.1007/s12564-023-09829-1" TargetMode="External"/><Relationship Id="rId73" Type="http://schemas.openxmlformats.org/officeDocument/2006/relationships/hyperlink" Target="https://www.unesco.org/sdg4education2030/en/sdg4" TargetMode="External"/><Relationship Id="rId78" Type="http://schemas.openxmlformats.org/officeDocument/2006/relationships/hyperlink" Target="https://doi.org/10.1017/S0959259810000420" TargetMode="External"/><Relationship Id="rId81" Type="http://schemas.openxmlformats.org/officeDocument/2006/relationships/hyperlink" Target="https://doi.org/10.1186/s40359-024-02284-6" TargetMode="External"/><Relationship Id="rId4" Type="http://schemas.openxmlformats.org/officeDocument/2006/relationships/webSettings" Target="webSettings.xml"/><Relationship Id="rId9" Type="http://schemas.openxmlformats.org/officeDocument/2006/relationships/hyperlink" Target="https://doi.org/10.3390/educsci11090471" TargetMode="External"/><Relationship Id="rId13" Type="http://schemas.openxmlformats.org/officeDocument/2006/relationships/hyperlink" Target="https://www.academia.edu/86230479/Building_Academic_Resilience_in_Secondary_School_Students_A_Research_Review_and_Case_Study" TargetMode="External"/><Relationship Id="rId18" Type="http://schemas.openxmlformats.org/officeDocument/2006/relationships/hyperlink" Target="https://shorturl.at/Pc41R" TargetMode="External"/><Relationship Id="rId39" Type="http://schemas.openxmlformats.org/officeDocument/2006/relationships/hyperlink" Target="https://shorturl.at/QzK0U" TargetMode="External"/><Relationship Id="rId34" Type="http://schemas.openxmlformats.org/officeDocument/2006/relationships/hyperlink" Target="https://www.doi.org/10.13140/RG.2.2.27077.14567" TargetMode="External"/><Relationship Id="rId50" Type="http://schemas.openxmlformats.org/officeDocument/2006/relationships/hyperlink" Target="https://analytrics.org/wp-content/uploads/2024/05/ET_Kutsyuruba_Bezzina_2024.pdf" TargetMode="External"/><Relationship Id="rId55" Type="http://schemas.openxmlformats.org/officeDocument/2006/relationships/hyperlink" Target="https://www.um.edu.mt/matsec" TargetMode="External"/><Relationship Id="rId76" Type="http://schemas.openxmlformats.org/officeDocument/2006/relationships/hyperlink" Target="https://doi.org/10.1016/j.midw.2005.05.004" TargetMode="External"/><Relationship Id="rId7" Type="http://schemas.openxmlformats.org/officeDocument/2006/relationships/image" Target="media/image1.png"/><Relationship Id="rId71" Type="http://schemas.openxmlformats.org/officeDocument/2006/relationships/hyperlink" Target="https://timesofmalta.com/article/editorial-restoring-postsecondary-education-relevance.1100905" TargetMode="External"/><Relationship Id="rId2" Type="http://schemas.openxmlformats.org/officeDocument/2006/relationships/styles" Target="styles.xml"/><Relationship Id="rId29" Type="http://schemas.openxmlformats.org/officeDocument/2006/relationships/hyperlink" Target="https://doi.org/10.1080/28324765.2023.2292687" TargetMode="External"/><Relationship Id="rId24" Type="http://schemas.openxmlformats.org/officeDocument/2006/relationships/hyperlink" Target="https://doi.org/10.1016/j.sbspro.2013.12.766" TargetMode="External"/><Relationship Id="rId40" Type="http://schemas.openxmlformats.org/officeDocument/2006/relationships/hyperlink" Target="https://doi.org/10.1146/annurev.psych.55.090902.141456" TargetMode="External"/><Relationship Id="rId45" Type="http://schemas.openxmlformats.org/officeDocument/2006/relationships/hyperlink" Target="https://doi.org/10.4135/9781526435620.n5" TargetMode="External"/><Relationship Id="rId66" Type="http://schemas.openxmlformats.org/officeDocument/2006/relationships/hyperlink" Target="https://www.doi.org/10.1007/s12564-016-94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32</Pages>
  <Words>15721</Words>
  <Characters>89615</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Ebejer Grech</dc:creator>
  <cp:keywords/>
  <dc:description/>
  <cp:lastModifiedBy>Josephine Ebejer Grech</cp:lastModifiedBy>
  <cp:revision>10</cp:revision>
  <dcterms:created xsi:type="dcterms:W3CDTF">2025-07-02T15:25:00Z</dcterms:created>
  <dcterms:modified xsi:type="dcterms:W3CDTF">2025-07-02T15:46:00Z</dcterms:modified>
</cp:coreProperties>
</file>