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64" w:rsidRPr="00C96299" w:rsidRDefault="0042557E">
      <w:pPr>
        <w:rPr>
          <w:sz w:val="24"/>
        </w:rPr>
      </w:pPr>
      <w:r w:rsidRPr="00C96299">
        <w:rPr>
          <w:noProof/>
          <w:sz w:val="24"/>
          <w:lang w:eastAsia="fr-FR"/>
        </w:rPr>
        <mc:AlternateContent>
          <mc:Choice Requires="wps">
            <w:drawing>
              <wp:anchor distT="0" distB="0" distL="114300" distR="114300" simplePos="0" relativeHeight="251659264" behindDoc="0" locked="0" layoutInCell="1" allowOverlap="1" wp14:anchorId="6814E788" wp14:editId="0503492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582B64" w:rsidRDefault="0042557E">
                            <w:pPr>
                              <w:spacing w:line="240" w:lineRule="auto"/>
                              <w:contextualSpacing/>
                            </w:pPr>
                            <w:r>
                              <w:rPr>
                                <w:noProof/>
                                <w:position w:val="-6"/>
                                <w:lang w:eastAsia="fr-FR"/>
                              </w:rPr>
                              <w:drawing>
                                <wp:inline distT="0" distB="0" distL="0" distR="0" wp14:anchorId="78C2F708" wp14:editId="6A8BE13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814E788"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582B64" w:rsidRDefault="0042557E">
                      <w:pPr>
                        <w:spacing w:line="240" w:lineRule="auto"/>
                        <w:contextualSpacing/>
                      </w:pPr>
                      <w:r>
                        <w:rPr>
                          <w:noProof/>
                          <w:position w:val="-6"/>
                          <w:lang w:eastAsia="fr-FR"/>
                        </w:rPr>
                        <w:drawing>
                          <wp:inline distT="0" distB="0" distL="0" distR="0" wp14:anchorId="78C2F708" wp14:editId="6A8BE13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v:textbox>
                <w10:wrap anchorx="margin" anchory="page"/>
              </v:shape>
            </w:pict>
          </mc:Fallback>
        </mc:AlternateContent>
      </w:r>
    </w:p>
    <w:p w:rsidR="003746E6" w:rsidRDefault="00882880" w:rsidP="003746E6">
      <w:pPr>
        <w:spacing w:line="360" w:lineRule="auto"/>
        <w:rPr>
          <w:rFonts w:ascii="Times New Roman" w:eastAsia="Times New Roman" w:hAnsi="Times New Roman" w:cs="Times New Roman"/>
          <w:b/>
          <w:bCs/>
          <w:color w:val="000000" w:themeColor="text1"/>
          <w:sz w:val="24"/>
          <w:szCs w:val="24"/>
        </w:rPr>
      </w:pPr>
      <w:r w:rsidRPr="00CA5FB0">
        <w:rPr>
          <w:rFonts w:ascii="Times New Roman" w:eastAsia="Times New Roman" w:hAnsi="Times New Roman" w:cs="Times New Roman"/>
          <w:b/>
          <w:color w:val="202124"/>
          <w:sz w:val="24"/>
          <w:szCs w:val="24"/>
          <w:lang w:eastAsia="fr-FR"/>
        </w:rPr>
        <w:t>AUTHOR : Dr Didier François Diégane DIOP</w:t>
      </w:r>
    </w:p>
    <w:p w:rsidR="003746E6" w:rsidRPr="003746E6" w:rsidRDefault="003746E6" w:rsidP="003746E6">
      <w:pPr>
        <w:spacing w:line="360" w:lineRule="auto"/>
        <w:rPr>
          <w:rStyle w:val="Lienhypertexte"/>
          <w:rFonts w:ascii="Times New Roman" w:eastAsia="Times New Roman" w:hAnsi="Times New Roman" w:cs="Times New Roman"/>
          <w:b/>
          <w:bCs/>
          <w:color w:val="000000" w:themeColor="text1"/>
          <w:sz w:val="24"/>
          <w:szCs w:val="24"/>
          <w:u w:val="none"/>
        </w:rPr>
      </w:pPr>
      <w:r w:rsidRPr="003746E6">
        <w:rPr>
          <w:rStyle w:val="Lienhypertexte"/>
          <w:rFonts w:ascii="Times New Roman" w:eastAsia="Times New Roman" w:hAnsi="Times New Roman" w:cs="Times New Roman"/>
          <w:b/>
          <w:bCs/>
          <w:color w:val="000000" w:themeColor="text1"/>
          <w:sz w:val="24"/>
          <w:szCs w:val="24"/>
          <w:u w:val="none"/>
        </w:rPr>
        <w:t>Public Law Department, Cheikh Anta DIOP University, SENEGAL</w:t>
      </w:r>
    </w:p>
    <w:p w:rsidR="003746E6" w:rsidRPr="003746E6" w:rsidRDefault="003746E6" w:rsidP="003746E6">
      <w:pPr>
        <w:spacing w:line="360" w:lineRule="auto"/>
        <w:rPr>
          <w:rStyle w:val="Lienhypertexte"/>
          <w:rFonts w:ascii="Times New Roman" w:eastAsia="Times New Roman" w:hAnsi="Times New Roman" w:cs="Times New Roman"/>
          <w:b/>
          <w:bCs/>
          <w:color w:val="000000" w:themeColor="text1"/>
          <w:sz w:val="24"/>
          <w:szCs w:val="24"/>
          <w:u w:val="none"/>
        </w:rPr>
      </w:pPr>
      <w:r w:rsidRPr="003746E6">
        <w:rPr>
          <w:rStyle w:val="Lienhypertexte"/>
          <w:rFonts w:ascii="Times New Roman" w:eastAsia="Times New Roman" w:hAnsi="Times New Roman" w:cs="Times New Roman"/>
          <w:b/>
          <w:bCs/>
          <w:color w:val="000000" w:themeColor="text1"/>
          <w:sz w:val="24"/>
          <w:szCs w:val="24"/>
          <w:u w:val="none"/>
        </w:rPr>
        <w:t>E-mail address : didierdiop@gmail.com</w:t>
      </w:r>
    </w:p>
    <w:p w:rsidR="00882880" w:rsidRPr="00B732B0" w:rsidRDefault="00B732B0" w:rsidP="00B732B0">
      <w:pPr>
        <w:spacing w:line="360" w:lineRule="auto"/>
        <w:rPr>
          <w:rFonts w:ascii="Times New Roman" w:eastAsia="Times New Roman" w:hAnsi="Times New Roman" w:cs="Times New Roman"/>
          <w:b/>
          <w:bCs/>
          <w:color w:val="000000" w:themeColor="text1"/>
          <w:sz w:val="28"/>
          <w:szCs w:val="24"/>
        </w:rPr>
      </w:pPr>
      <w:r w:rsidRPr="00C96299">
        <w:rPr>
          <w:rFonts w:ascii="Times New Roman" w:eastAsia="Times New Roman" w:hAnsi="Times New Roman" w:cs="Times New Roman"/>
          <w:b/>
          <w:bCs/>
          <w:sz w:val="28"/>
          <w:szCs w:val="24"/>
        </w:rPr>
        <w:t>Article title</w:t>
      </w:r>
      <w:r>
        <w:rPr>
          <w:rFonts w:ascii="Times New Roman" w:eastAsia="Times New Roman" w:hAnsi="Times New Roman" w:cs="Times New Roman"/>
          <w:b/>
          <w:bCs/>
          <w:sz w:val="28"/>
          <w:szCs w:val="24"/>
        </w:rPr>
        <w:t xml:space="preserve"> </w:t>
      </w:r>
      <w:r w:rsidRPr="00C96299">
        <w:rPr>
          <w:rFonts w:ascii="Times New Roman" w:eastAsia="Times New Roman" w:hAnsi="Times New Roman" w:cs="Times New Roman"/>
          <w:b/>
          <w:bCs/>
          <w:sz w:val="28"/>
          <w:szCs w:val="24"/>
        </w:rPr>
        <w:t xml:space="preserve">: </w:t>
      </w:r>
      <w:r w:rsidRPr="00C96299">
        <w:rPr>
          <w:rFonts w:ascii="Times New Roman" w:eastAsia="Times New Roman" w:hAnsi="Times New Roman" w:cs="Times New Roman"/>
          <w:b/>
          <w:bCs/>
          <w:color w:val="000000" w:themeColor="text1"/>
          <w:sz w:val="28"/>
          <w:szCs w:val="24"/>
        </w:rPr>
        <w:t>Digital trade governance and regional integration</w:t>
      </w:r>
    </w:p>
    <w:p w:rsidR="00882880" w:rsidRDefault="0042557E" w:rsidP="7964F7DB">
      <w:pPr>
        <w:spacing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Keywords : GATT, WTO, </w:t>
      </w:r>
      <w:r w:rsidR="00882880" w:rsidRPr="00CA5FB0">
        <w:rPr>
          <w:rFonts w:ascii="Times New Roman" w:eastAsia="Times New Roman" w:hAnsi="Times New Roman" w:cs="Times New Roman"/>
          <w:b/>
          <w:bCs/>
          <w:color w:val="000000" w:themeColor="text1"/>
          <w:sz w:val="24"/>
          <w:szCs w:val="24"/>
        </w:rPr>
        <w:t>R</w:t>
      </w:r>
      <w:r>
        <w:rPr>
          <w:rFonts w:ascii="Times New Roman" w:eastAsia="Times New Roman" w:hAnsi="Times New Roman" w:cs="Times New Roman"/>
          <w:b/>
          <w:bCs/>
          <w:color w:val="000000" w:themeColor="text1"/>
          <w:sz w:val="24"/>
          <w:szCs w:val="24"/>
        </w:rPr>
        <w:t>TAs</w:t>
      </w:r>
      <w:r w:rsidR="00882880" w:rsidRPr="00CA5FB0">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LDCs, </w:t>
      </w:r>
      <w:r w:rsidR="00882880" w:rsidRPr="00CA5FB0">
        <w:rPr>
          <w:rFonts w:ascii="Times New Roman" w:eastAsia="Times New Roman" w:hAnsi="Times New Roman" w:cs="Times New Roman"/>
          <w:b/>
          <w:bCs/>
          <w:color w:val="000000" w:themeColor="text1"/>
          <w:sz w:val="24"/>
          <w:szCs w:val="24"/>
        </w:rPr>
        <w:t>e</w:t>
      </w:r>
      <w:r w:rsidR="00A063B4">
        <w:rPr>
          <w:rFonts w:ascii="Times New Roman" w:eastAsia="Times New Roman" w:hAnsi="Times New Roman" w:cs="Times New Roman"/>
          <w:b/>
          <w:bCs/>
          <w:color w:val="000000" w:themeColor="text1"/>
          <w:sz w:val="24"/>
          <w:szCs w:val="24"/>
        </w:rPr>
        <w:t xml:space="preserve">-commerce, Regional Intégration </w:t>
      </w:r>
    </w:p>
    <w:p w:rsidR="4A077DAB" w:rsidRDefault="4A077DAB" w:rsidP="4A077DAB">
      <w:pPr>
        <w:spacing w:line="360" w:lineRule="auto"/>
        <w:rPr>
          <w:rFonts w:ascii="Times New Roman" w:eastAsia="Times New Roman" w:hAnsi="Times New Roman" w:cs="Times New Roman"/>
          <w:b/>
          <w:bCs/>
          <w:color w:val="000000" w:themeColor="text1"/>
          <w:sz w:val="24"/>
          <w:szCs w:val="24"/>
        </w:rPr>
      </w:pPr>
      <w:r w:rsidRPr="4A077DAB">
        <w:rPr>
          <w:rFonts w:ascii="Times New Roman" w:eastAsia="Times New Roman" w:hAnsi="Times New Roman" w:cs="Times New Roman"/>
          <w:b/>
          <w:bCs/>
          <w:color w:val="000000" w:themeColor="text1"/>
          <w:sz w:val="24"/>
          <w:szCs w:val="24"/>
        </w:rPr>
        <w:t>Abstract</w:t>
      </w:r>
    </w:p>
    <w:p w:rsidR="00582B64" w:rsidRDefault="65AF6301" w:rsidP="65AF6301">
      <w:pPr>
        <w:spacing w:after="20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detailed examination of such a subject will be carried out on the basis of a fundamental problem, which will thus serve as </w:t>
      </w:r>
      <w:proofErr w:type="gramStart"/>
      <w:r w:rsidRPr="65AF6301">
        <w:rPr>
          <w:rFonts w:ascii="Times New Roman" w:eastAsia="Times New Roman" w:hAnsi="Times New Roman" w:cs="Times New Roman"/>
          <w:color w:val="000000" w:themeColor="text1"/>
          <w:sz w:val="24"/>
          <w:szCs w:val="24"/>
        </w:rPr>
        <w:t>a</w:t>
      </w:r>
      <w:proofErr w:type="gramEnd"/>
      <w:r w:rsidRPr="65AF6301">
        <w:rPr>
          <w:rFonts w:ascii="Times New Roman" w:eastAsia="Times New Roman" w:hAnsi="Times New Roman" w:cs="Times New Roman"/>
          <w:color w:val="000000" w:themeColor="text1"/>
          <w:sz w:val="24"/>
          <w:szCs w:val="24"/>
        </w:rPr>
        <w:t xml:space="preserve"> guideline in the presentation of the ideas which should underlie the approach. This concerns the question of the links between digital trade and regional integration, particularly Regional Trade Agreements. In other words, how the standards or rules of the GATT and the WTO make it possible to understand the dynamics of inclusive and sustainable development, in favor of developing countries and least developed countries (LDC</w:t>
      </w:r>
      <w:r w:rsidR="00194692">
        <w:rPr>
          <w:rFonts w:ascii="Times New Roman" w:eastAsia="Times New Roman" w:hAnsi="Times New Roman" w:cs="Times New Roman"/>
          <w:color w:val="000000" w:themeColor="text1"/>
          <w:sz w:val="24"/>
          <w:szCs w:val="24"/>
        </w:rPr>
        <w:t>s) in the French-speaking world</w:t>
      </w:r>
      <w:r w:rsidRPr="65AF6301">
        <w:rPr>
          <w:rFonts w:ascii="Times New Roman" w:eastAsia="Times New Roman" w:hAnsi="Times New Roman" w:cs="Times New Roman"/>
          <w:color w:val="000000" w:themeColor="text1"/>
          <w:sz w:val="24"/>
          <w:szCs w:val="24"/>
        </w:rPr>
        <w:t>, notably through regional integration through digital trade, and specifically at the level of Regional Trade Agreements</w:t>
      </w:r>
      <w:r w:rsidR="00194692">
        <w:rPr>
          <w:rFonts w:ascii="Times New Roman" w:eastAsia="Times New Roman" w:hAnsi="Times New Roman" w:cs="Times New Roman"/>
          <w:color w:val="000000" w:themeColor="text1"/>
          <w:sz w:val="24"/>
          <w:szCs w:val="24"/>
        </w:rPr>
        <w:t xml:space="preserve"> </w:t>
      </w:r>
      <w:bookmarkStart w:id="0" w:name="_GoBack"/>
      <w:bookmarkEnd w:id="0"/>
      <w:r w:rsidRPr="65AF6301">
        <w:rPr>
          <w:rFonts w:ascii="Times New Roman" w:eastAsia="Times New Roman" w:hAnsi="Times New Roman" w:cs="Times New Roman"/>
          <w:color w:val="000000" w:themeColor="text1"/>
          <w:sz w:val="24"/>
          <w:szCs w:val="24"/>
        </w:rPr>
        <w:t>?</w:t>
      </w:r>
    </w:p>
    <w:p w:rsidR="00582B64" w:rsidRDefault="65AF6301" w:rsidP="65AF6301">
      <w:pPr>
        <w:spacing w:after="200" w:line="360" w:lineRule="auto"/>
        <w:jc w:val="both"/>
        <w:rPr>
          <w:rFonts w:ascii="Times New Roman" w:eastAsia="Times New Roman" w:hAnsi="Times New Roman" w:cs="Times New Roman"/>
          <w:color w:val="00000A"/>
          <w:sz w:val="24"/>
          <w:szCs w:val="24"/>
        </w:rPr>
      </w:pPr>
      <w:r w:rsidRPr="65AF6301">
        <w:rPr>
          <w:rFonts w:ascii="Times New Roman" w:eastAsia="Times New Roman" w:hAnsi="Times New Roman" w:cs="Times New Roman"/>
          <w:color w:val="00000A"/>
          <w:sz w:val="24"/>
          <w:szCs w:val="24"/>
        </w:rPr>
        <w:t>Thus the problem of method is at the heart of any scientific work as it is true that the method sheds light on the hypotheses and determines the conclusions, our approach will be ordered with a few exceptions around the use of the analytical and exegetic</w:t>
      </w:r>
      <w:r w:rsidR="00FF3F33">
        <w:rPr>
          <w:rFonts w:ascii="Times New Roman" w:eastAsia="Times New Roman" w:hAnsi="Times New Roman" w:cs="Times New Roman"/>
          <w:color w:val="00000A"/>
          <w:sz w:val="24"/>
          <w:szCs w:val="24"/>
        </w:rPr>
        <w:t>al but also comparative method</w:t>
      </w:r>
      <w:r w:rsidRPr="65AF6301">
        <w:rPr>
          <w:rFonts w:ascii="Times New Roman" w:eastAsia="Times New Roman" w:hAnsi="Times New Roman" w:cs="Times New Roman"/>
          <w:color w:val="00000A"/>
          <w:sz w:val="24"/>
          <w:szCs w:val="24"/>
        </w:rPr>
        <w:t>. It is understood as the analysis, interpretation and explanation of the rules of law, particularly those contained in the various legal texts of the GATT and the WTO.</w:t>
      </w:r>
    </w:p>
    <w:p w:rsidR="00582B64" w:rsidRDefault="65AF6301" w:rsidP="65AF6301">
      <w:pPr>
        <w:spacing w:line="360" w:lineRule="auto"/>
        <w:rPr>
          <w:rFonts w:ascii="Times New Roman" w:eastAsia="Times New Roman" w:hAnsi="Times New Roman" w:cs="Times New Roman"/>
          <w:sz w:val="24"/>
          <w:szCs w:val="24"/>
        </w:rPr>
      </w:pPr>
      <w:r w:rsidRPr="65AF6301">
        <w:rPr>
          <w:rFonts w:ascii="Times New Roman" w:eastAsia="Times New Roman" w:hAnsi="Times New Roman" w:cs="Times New Roman"/>
          <w:color w:val="00000A"/>
          <w:sz w:val="24"/>
          <w:szCs w:val="24"/>
        </w:rPr>
        <w:t>As for the expected results,</w:t>
      </w:r>
      <w:r w:rsidR="00FF3F33">
        <w:rPr>
          <w:rFonts w:ascii="Times New Roman" w:eastAsia="Times New Roman" w:hAnsi="Times New Roman" w:cs="Times New Roman"/>
          <w:color w:val="00000A"/>
          <w:sz w:val="24"/>
          <w:szCs w:val="24"/>
        </w:rPr>
        <w:t xml:space="preserve"> </w:t>
      </w:r>
      <w:r w:rsidR="00FF3F33">
        <w:rPr>
          <w:rFonts w:ascii="Times New Roman" w:eastAsia="Times New Roman" w:hAnsi="Times New Roman" w:cs="Times New Roman"/>
          <w:color w:val="000000" w:themeColor="text1"/>
          <w:sz w:val="24"/>
          <w:szCs w:val="24"/>
        </w:rPr>
        <w:t>t</w:t>
      </w:r>
      <w:r w:rsidRPr="65AF6301">
        <w:rPr>
          <w:rFonts w:ascii="Times New Roman" w:eastAsia="Times New Roman" w:hAnsi="Times New Roman" w:cs="Times New Roman"/>
          <w:color w:val="000000" w:themeColor="text1"/>
          <w:sz w:val="24"/>
          <w:szCs w:val="24"/>
        </w:rPr>
        <w:t xml:space="preserve">he exception of Article 24 of the GATT requires a failure to take into account mixed RTAs in WTO law and a calling into question of the preferential </w:t>
      </w:r>
      <w:proofErr w:type="gramStart"/>
      <w:r w:rsidRPr="65AF6301">
        <w:rPr>
          <w:rFonts w:ascii="Times New Roman" w:eastAsia="Times New Roman" w:hAnsi="Times New Roman" w:cs="Times New Roman"/>
          <w:color w:val="000000" w:themeColor="text1"/>
          <w:sz w:val="24"/>
          <w:szCs w:val="24"/>
        </w:rPr>
        <w:t>triptych:</w:t>
      </w:r>
      <w:proofErr w:type="gramEnd"/>
      <w:r w:rsidRPr="65AF6301">
        <w:rPr>
          <w:rFonts w:ascii="Times New Roman" w:eastAsia="Times New Roman" w:hAnsi="Times New Roman" w:cs="Times New Roman"/>
          <w:color w:val="000000" w:themeColor="text1"/>
          <w:sz w:val="24"/>
          <w:szCs w:val="24"/>
        </w:rPr>
        <w:t xml:space="preserve"> Preference, non-reciprocity and discrimination.</w:t>
      </w:r>
    </w:p>
    <w:p w:rsidR="00582B64" w:rsidRDefault="00582B64" w:rsidP="65AF6301">
      <w:pPr>
        <w:spacing w:line="360" w:lineRule="auto"/>
        <w:rPr>
          <w:rFonts w:ascii="Times New Roman" w:eastAsia="Times New Roman" w:hAnsi="Times New Roman" w:cs="Times New Roman"/>
          <w:b/>
          <w:bCs/>
          <w:color w:val="000000" w:themeColor="text1"/>
          <w:sz w:val="24"/>
          <w:szCs w:val="24"/>
        </w:rPr>
      </w:pPr>
    </w:p>
    <w:p w:rsidR="00582B64" w:rsidRDefault="65AF6301" w:rsidP="65AF6301">
      <w:pPr>
        <w:pStyle w:val="Titre1"/>
        <w:keepNext w:val="0"/>
        <w:keepLines w:val="0"/>
        <w:tabs>
          <w:tab w:val="num" w:pos="720"/>
        </w:tabs>
        <w:spacing w:before="120" w:after="120" w:line="360" w:lineRule="auto"/>
        <w:ind w:left="720" w:hanging="720"/>
        <w:jc w:val="both"/>
        <w:rPr>
          <w:rFonts w:ascii="Times New Roman" w:eastAsia="Times New Roman" w:hAnsi="Times New Roman" w:cs="Times New Roman"/>
          <w:b/>
          <w:bCs/>
          <w:color w:val="000000" w:themeColor="text1"/>
          <w:sz w:val="24"/>
          <w:szCs w:val="24"/>
        </w:rPr>
      </w:pPr>
      <w:r w:rsidRPr="65AF6301">
        <w:rPr>
          <w:rFonts w:ascii="Times New Roman" w:eastAsia="Times New Roman" w:hAnsi="Times New Roman" w:cs="Times New Roman"/>
          <w:b/>
          <w:bCs/>
          <w:color w:val="000000" w:themeColor="text1"/>
          <w:sz w:val="24"/>
          <w:szCs w:val="24"/>
        </w:rPr>
        <w:t xml:space="preserve">Section </w:t>
      </w:r>
      <w:proofErr w:type="gramStart"/>
      <w:r w:rsidRPr="65AF6301">
        <w:rPr>
          <w:rFonts w:ascii="Times New Roman" w:eastAsia="Times New Roman" w:hAnsi="Times New Roman" w:cs="Times New Roman"/>
          <w:b/>
          <w:bCs/>
          <w:color w:val="000000" w:themeColor="text1"/>
          <w:sz w:val="24"/>
          <w:szCs w:val="24"/>
        </w:rPr>
        <w:t>I:</w:t>
      </w:r>
      <w:proofErr w:type="gramEnd"/>
      <w:r w:rsidRPr="65AF6301">
        <w:rPr>
          <w:rFonts w:ascii="Times New Roman" w:eastAsia="Times New Roman" w:hAnsi="Times New Roman" w:cs="Times New Roman"/>
          <w:b/>
          <w:bCs/>
          <w:color w:val="000000" w:themeColor="text1"/>
          <w:sz w:val="24"/>
          <w:szCs w:val="24"/>
        </w:rPr>
        <w:t xml:space="preserve"> Failure to take mixed RTAs into account in WTO law</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GATT yesterday, the WTO today apply quite naturally to the territories of the Contracting Parties as international law recognizes them and delimits them spatially by State borders. Most of the time political borders and economic borders coincide but this is not always the case, as demonstrated by the existence of a free zone between France and Switzerland in Savoy and in </w:t>
      </w:r>
      <w:r w:rsidRPr="65AF6301">
        <w:rPr>
          <w:rFonts w:ascii="Times New Roman" w:eastAsia="Times New Roman" w:hAnsi="Times New Roman" w:cs="Times New Roman"/>
          <w:color w:val="000000" w:themeColor="text1"/>
          <w:sz w:val="24"/>
          <w:szCs w:val="24"/>
        </w:rPr>
        <w:lastRenderedPageBreak/>
        <w:t>the country of Gex dating from th</w:t>
      </w:r>
      <w:r w:rsidR="00125384">
        <w:rPr>
          <w:rFonts w:ascii="Times New Roman" w:eastAsia="Times New Roman" w:hAnsi="Times New Roman" w:cs="Times New Roman"/>
          <w:color w:val="000000" w:themeColor="text1"/>
          <w:sz w:val="24"/>
          <w:szCs w:val="24"/>
        </w:rPr>
        <w:t>e Act final of Vienna of 1815</w:t>
      </w:r>
      <w:r w:rsidR="00125384">
        <w:rPr>
          <w:rStyle w:val="Appelnotedebasdep"/>
          <w:rFonts w:ascii="Times New Roman" w:eastAsia="Times New Roman" w:hAnsi="Times New Roman" w:cs="Times New Roman"/>
          <w:color w:val="000000" w:themeColor="text1"/>
          <w:sz w:val="24"/>
          <w:szCs w:val="24"/>
        </w:rPr>
        <w:footnoteReference w:id="1"/>
      </w:r>
      <w:r w:rsidRPr="65AF6301">
        <w:rPr>
          <w:rFonts w:ascii="Times New Roman" w:eastAsia="Times New Roman" w:hAnsi="Times New Roman" w:cs="Times New Roman"/>
          <w:color w:val="000000" w:themeColor="text1"/>
          <w:sz w:val="24"/>
          <w:szCs w:val="24"/>
        </w:rPr>
        <w:t xml:space="preserve">. The border, a concrete manifestation of the territorial exclusivity of the State, constitutes a natural obstacle to cross and thus appears as </w:t>
      </w:r>
      <w:proofErr w:type="gramStart"/>
      <w:r w:rsidRPr="65AF6301">
        <w:rPr>
          <w:rFonts w:ascii="Times New Roman" w:eastAsia="Times New Roman" w:hAnsi="Times New Roman" w:cs="Times New Roman"/>
          <w:color w:val="000000" w:themeColor="text1"/>
          <w:sz w:val="24"/>
          <w:szCs w:val="24"/>
        </w:rPr>
        <w:t>a</w:t>
      </w:r>
      <w:proofErr w:type="gramEnd"/>
      <w:r w:rsidRPr="65AF6301">
        <w:rPr>
          <w:rFonts w:ascii="Times New Roman" w:eastAsia="Times New Roman" w:hAnsi="Times New Roman" w:cs="Times New Roman"/>
          <w:color w:val="000000" w:themeColor="text1"/>
          <w:sz w:val="24"/>
          <w:szCs w:val="24"/>
        </w:rPr>
        <w:t xml:space="preserve"> disruptive element slowing down and sometimes preventing the continuity of international economic exchanges. If it presents a certain reality from a historical, legal and political point of view, on an economic level, on the other hand, it often appears artificial, and today more and more so. This phenomenon is well known and traditional for border </w:t>
      </w:r>
      <w:proofErr w:type="gramStart"/>
      <w:r w:rsidRPr="65AF6301">
        <w:rPr>
          <w:rFonts w:ascii="Times New Roman" w:eastAsia="Times New Roman" w:hAnsi="Times New Roman" w:cs="Times New Roman"/>
          <w:color w:val="000000" w:themeColor="text1"/>
          <w:sz w:val="24"/>
          <w:szCs w:val="24"/>
        </w:rPr>
        <w:t>areas:</w:t>
      </w:r>
      <w:proofErr w:type="gramEnd"/>
      <w:r w:rsidRPr="65AF6301">
        <w:rPr>
          <w:rFonts w:ascii="Times New Roman" w:eastAsia="Times New Roman" w:hAnsi="Times New Roman" w:cs="Times New Roman"/>
          <w:color w:val="000000" w:themeColor="text1"/>
          <w:sz w:val="24"/>
          <w:szCs w:val="24"/>
        </w:rPr>
        <w:t xml:space="preserve"> the economic unity of a region often leads to the “crossing” of the border in the political and legal sense of the term, with the institution of a particular exchange regime. The General Agreement recognizes the existence of this “border traffic” to which its provisi</w:t>
      </w:r>
      <w:r w:rsidR="00125384">
        <w:rPr>
          <w:rFonts w:ascii="Times New Roman" w:eastAsia="Times New Roman" w:hAnsi="Times New Roman" w:cs="Times New Roman"/>
          <w:color w:val="000000" w:themeColor="text1"/>
          <w:sz w:val="24"/>
          <w:szCs w:val="24"/>
        </w:rPr>
        <w:t>ons cannot obstruct</w:t>
      </w:r>
      <w:r w:rsidR="00125384">
        <w:rPr>
          <w:rStyle w:val="Appelnotedebasdep"/>
          <w:rFonts w:ascii="Times New Roman" w:eastAsia="Times New Roman" w:hAnsi="Times New Roman" w:cs="Times New Roman"/>
          <w:color w:val="000000" w:themeColor="text1"/>
          <w:sz w:val="24"/>
          <w:szCs w:val="24"/>
        </w:rPr>
        <w:footnoteReference w:id="2"/>
      </w:r>
      <w:r w:rsidRPr="65AF6301">
        <w:rPr>
          <w:rFonts w:ascii="Times New Roman" w:eastAsia="Times New Roman" w:hAnsi="Times New Roman" w:cs="Times New Roman"/>
          <w:color w:val="000000" w:themeColor="text1"/>
          <w:sz w:val="24"/>
          <w:szCs w:val="24"/>
        </w:rPr>
        <w:t xml:space="preserve">. But there is more than this local phenomenon. For a long time now, States have recognized the artificial nature of their borders with regard to economic exchanges. However, often in the past, they have decided to remove their border in the economic sense of the term, while maintaining them in their legal and political functions. The example of the Zollverein, formed by a number of German principalities and kingdoms in the 19th century, has remained famous. Nowadays, temptations and achievements have continued unabated both for economic and political reasons. Economically, most states are too small to constitute on their own a sufficient market to produce in large quantities and at the lowest cost, therefore, unifying state territories in terms of market amounts to allowing the required economies of scale for mass production or service provision. Thus, the European Community has gradually developed into a single market (what has also been called the “large internal market”) characterized by “the abolition, between Member States, of obstacles to the free movement of goods , </w:t>
      </w:r>
      <w:r w:rsidR="00125384">
        <w:rPr>
          <w:rFonts w:ascii="Times New Roman" w:eastAsia="Times New Roman" w:hAnsi="Times New Roman" w:cs="Times New Roman"/>
          <w:color w:val="000000" w:themeColor="text1"/>
          <w:sz w:val="24"/>
          <w:szCs w:val="24"/>
        </w:rPr>
        <w:t>people, services and capital”</w:t>
      </w:r>
      <w:r w:rsidR="00125384">
        <w:rPr>
          <w:rStyle w:val="Appelnotedebasdep"/>
          <w:rFonts w:ascii="Times New Roman" w:eastAsia="Times New Roman" w:hAnsi="Times New Roman" w:cs="Times New Roman"/>
          <w:color w:val="000000" w:themeColor="text1"/>
          <w:sz w:val="24"/>
          <w:szCs w:val="24"/>
        </w:rPr>
        <w:footnoteReference w:id="3"/>
      </w:r>
      <w:r w:rsidRPr="65AF6301">
        <w:rPr>
          <w:rFonts w:ascii="Times New Roman" w:eastAsia="Times New Roman" w:hAnsi="Times New Roman" w:cs="Times New Roman"/>
          <w:color w:val="000000" w:themeColor="text1"/>
          <w:sz w:val="24"/>
          <w:szCs w:val="24"/>
        </w:rPr>
        <w:t xml:space="preserve">. Without going that far, almost all WTO member states are now part of more or less “pure” regional economic integrations, or even simple preferential arrangements. Alongside this economic argument in favor of groupings of States based on geographical or regional proximity, there are also fundamental political considerations which militate in the same </w:t>
      </w:r>
      <w:proofErr w:type="gramStart"/>
      <w:r w:rsidRPr="65AF6301">
        <w:rPr>
          <w:rFonts w:ascii="Times New Roman" w:eastAsia="Times New Roman" w:hAnsi="Times New Roman" w:cs="Times New Roman"/>
          <w:color w:val="000000" w:themeColor="text1"/>
          <w:sz w:val="24"/>
          <w:szCs w:val="24"/>
        </w:rPr>
        <w:t>direction.Doesn't</w:t>
      </w:r>
      <w:proofErr w:type="gramEnd"/>
      <w:r w:rsidRPr="65AF6301">
        <w:rPr>
          <w:rFonts w:ascii="Times New Roman" w:eastAsia="Times New Roman" w:hAnsi="Times New Roman" w:cs="Times New Roman"/>
          <w:color w:val="000000" w:themeColor="text1"/>
          <w:sz w:val="24"/>
          <w:szCs w:val="24"/>
        </w:rPr>
        <w:t xml:space="preserve"> the integration of national economies constitute the surest factor for peace between the States concerned? Does declaring war on your best customer or </w:t>
      </w:r>
      <w:r w:rsidRPr="65AF6301">
        <w:rPr>
          <w:rFonts w:ascii="Times New Roman" w:eastAsia="Times New Roman" w:hAnsi="Times New Roman" w:cs="Times New Roman"/>
          <w:color w:val="000000" w:themeColor="text1"/>
          <w:sz w:val="24"/>
          <w:szCs w:val="24"/>
        </w:rPr>
        <w:lastRenderedPageBreak/>
        <w:t xml:space="preserve">supplier still make </w:t>
      </w:r>
      <w:proofErr w:type="gramStart"/>
      <w:r w:rsidRPr="65AF6301">
        <w:rPr>
          <w:rFonts w:ascii="Times New Roman" w:eastAsia="Times New Roman" w:hAnsi="Times New Roman" w:cs="Times New Roman"/>
          <w:color w:val="000000" w:themeColor="text1"/>
          <w:sz w:val="24"/>
          <w:szCs w:val="24"/>
        </w:rPr>
        <w:t>sense?</w:t>
      </w:r>
      <w:proofErr w:type="gramEnd"/>
      <w:r w:rsidRPr="65AF6301">
        <w:rPr>
          <w:rFonts w:ascii="Times New Roman" w:eastAsia="Times New Roman" w:hAnsi="Times New Roman" w:cs="Times New Roman"/>
          <w:color w:val="000000" w:themeColor="text1"/>
          <w:sz w:val="24"/>
          <w:szCs w:val="24"/>
        </w:rPr>
        <w:t xml:space="preserve"> In other words, economic integration always leads to a certain form of political integration and thus appears to be the best guarantee of peaceful relations. Peace through economic integration was the entire philosophy of Jean Monnet and was found at the basis of post-war European construction. The General Agreement of 1947 was to implicitly embrace these concerns, by promoting the creation of regional economic integrations. The approach to economic regionalism of GATT 1947 remained that of "GATT 1994" which only added a few clarifications in "a Memorandum of Understanding on the Interpretation of Article 24 of the General Agreement o</w:t>
      </w:r>
      <w:r w:rsidR="00125384">
        <w:rPr>
          <w:rFonts w:ascii="Times New Roman" w:eastAsia="Times New Roman" w:hAnsi="Times New Roman" w:cs="Times New Roman"/>
          <w:color w:val="000000" w:themeColor="text1"/>
          <w:sz w:val="24"/>
          <w:szCs w:val="24"/>
        </w:rPr>
        <w:t>n customs tariffs and trade »</w:t>
      </w:r>
      <w:r w:rsidR="00125384">
        <w:rPr>
          <w:rStyle w:val="Appelnotedebasdep"/>
          <w:rFonts w:ascii="Times New Roman" w:eastAsia="Times New Roman" w:hAnsi="Times New Roman" w:cs="Times New Roman"/>
          <w:color w:val="000000" w:themeColor="text1"/>
          <w:sz w:val="24"/>
          <w:szCs w:val="24"/>
        </w:rPr>
        <w:footnoteReference w:id="4"/>
      </w:r>
      <w:r w:rsidRPr="65AF6301">
        <w:rPr>
          <w:rFonts w:ascii="Times New Roman" w:eastAsia="Times New Roman" w:hAnsi="Times New Roman" w:cs="Times New Roman"/>
          <w:color w:val="000000" w:themeColor="text1"/>
          <w:sz w:val="24"/>
          <w:szCs w:val="24"/>
        </w:rPr>
        <w:t xml:space="preserve">. As such, only certain forms of regional economic integration are formalized which, to be legal, must respect certain conditions and not infringe the rights of third parties. Finally, while constituting a preferential trade regime, these integrations and their members are not released from respect for the common rules governing multilateral trade. The General Agreement formalizes certain types of regional economic agreements and considers them positive as long as they contribute to creating trade flows. Indeed, economic regionalism is likely to take two very distinct forms with very different objectives and constraints. On the one hand, there are simple economic cooperation agreements which, while creating an international institution (e.g. the OEEC/OECD or the Association of South-East Asian Countries – ASEAN) aim at better coordination of the policies followed by member countries, without particular constraints other than freely agreed and on a case-by-case </w:t>
      </w:r>
      <w:proofErr w:type="gramStart"/>
      <w:r w:rsidRPr="65AF6301">
        <w:rPr>
          <w:rFonts w:ascii="Times New Roman" w:eastAsia="Times New Roman" w:hAnsi="Times New Roman" w:cs="Times New Roman"/>
          <w:color w:val="000000" w:themeColor="text1"/>
          <w:sz w:val="24"/>
          <w:szCs w:val="24"/>
        </w:rPr>
        <w:t>basis.must</w:t>
      </w:r>
      <w:proofErr w:type="gramEnd"/>
      <w:r w:rsidRPr="65AF6301">
        <w:rPr>
          <w:rFonts w:ascii="Times New Roman" w:eastAsia="Times New Roman" w:hAnsi="Times New Roman" w:cs="Times New Roman"/>
          <w:color w:val="000000" w:themeColor="text1"/>
          <w:sz w:val="24"/>
          <w:szCs w:val="24"/>
        </w:rPr>
        <w:t xml:space="preserve"> respect certain conditions and not infringe the rights of third parties. Finally, while constituting a preferential trade regime, these integrations and their members are not released from respect for the common rules governing multilateral trade. The General Agreement formalizes certain types of regional economic agreements and considers them positive as long as they contribute to creating trade flows. Indeed, economic regionalism is likely to take two very distinct forms with very different objectives and constraints. On the one hand, there are simple economic cooperation agreements which, while creating an international institution (e.g. the OEEC/OECD or the Association of South-East Asian Countries – ASEAN) aim at better coordination of the policies followed by member countries, without particular constraints other than freely agreed and on a case-by-case </w:t>
      </w:r>
      <w:proofErr w:type="gramStart"/>
      <w:r w:rsidRPr="65AF6301">
        <w:rPr>
          <w:rFonts w:ascii="Times New Roman" w:eastAsia="Times New Roman" w:hAnsi="Times New Roman" w:cs="Times New Roman"/>
          <w:color w:val="000000" w:themeColor="text1"/>
          <w:sz w:val="24"/>
          <w:szCs w:val="24"/>
        </w:rPr>
        <w:t>basis.must</w:t>
      </w:r>
      <w:proofErr w:type="gramEnd"/>
      <w:r w:rsidRPr="65AF6301">
        <w:rPr>
          <w:rFonts w:ascii="Times New Roman" w:eastAsia="Times New Roman" w:hAnsi="Times New Roman" w:cs="Times New Roman"/>
          <w:color w:val="000000" w:themeColor="text1"/>
          <w:sz w:val="24"/>
          <w:szCs w:val="24"/>
        </w:rPr>
        <w:t xml:space="preserve"> respect certain conditions and not infringe the rights of third parties. Finally, while constituting a preferential trade </w:t>
      </w:r>
      <w:r w:rsidRPr="65AF6301">
        <w:rPr>
          <w:rFonts w:ascii="Times New Roman" w:eastAsia="Times New Roman" w:hAnsi="Times New Roman" w:cs="Times New Roman"/>
          <w:color w:val="000000" w:themeColor="text1"/>
          <w:sz w:val="24"/>
          <w:szCs w:val="24"/>
        </w:rPr>
        <w:lastRenderedPageBreak/>
        <w:t>regime, these integrations and their members are not released from respect for the common rules governing multilateral trade. The General Agreement formalizes certain types of regional economic agreements and considers them positive as long as they contribute to creating trade flows. Indeed, economic regionalism is likely to take two very distinct forms with very different objectives and constraints. On the one hand, there are simple economic cooperation agreements which, while creating an international institution (e.g. the OEEC/OECD or the Association of South-East Asian Countries – ASEAN) aim at better coordination of the policies followed by member countries, without particular constraints other than freely agreed and on a case-by-case basis.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GATT is not interested in these economic cooperation agreements which cannot affect it in any way. On the other hand, there are agreements intended to achieve an integration of the economies of the participating countries which, while also being "freely concluded" as the GATT quite naturally requires, turn out to be binding, because they require dismantling of obstacles to trade or the institution of common policies of their members. Because of their impact, the GATT cannot ignore them. Thus, it singles out and formalizes two types of agreements aimed at “closer integration of the economies of the participating countries”, notably custom</w:t>
      </w:r>
      <w:r w:rsidR="00EF5311">
        <w:rPr>
          <w:rFonts w:ascii="Times New Roman" w:eastAsia="Times New Roman" w:hAnsi="Times New Roman" w:cs="Times New Roman"/>
          <w:color w:val="000000" w:themeColor="text1"/>
          <w:sz w:val="24"/>
          <w:szCs w:val="24"/>
        </w:rPr>
        <w:t>s unions and free trade zones</w:t>
      </w:r>
      <w:r w:rsidR="00EF5311">
        <w:rPr>
          <w:rStyle w:val="Appelnotedebasdep"/>
          <w:rFonts w:ascii="Times New Roman" w:eastAsia="Times New Roman" w:hAnsi="Times New Roman" w:cs="Times New Roman"/>
          <w:color w:val="000000" w:themeColor="text1"/>
          <w:sz w:val="24"/>
          <w:szCs w:val="24"/>
        </w:rPr>
        <w:footnoteReference w:id="5"/>
      </w:r>
      <w:r w:rsidRPr="65AF6301">
        <w:rPr>
          <w:rFonts w:ascii="Times New Roman" w:eastAsia="Times New Roman" w:hAnsi="Times New Roman" w:cs="Times New Roman"/>
          <w:color w:val="000000" w:themeColor="text1"/>
          <w:sz w:val="24"/>
          <w:szCs w:val="24"/>
        </w:rPr>
        <w:t xml:space="preserve">. Although he does not specify it, but it goes without saying, nothing prevents higher forms of economic integration from being established between countries (common markets or </w:t>
      </w:r>
      <w:r w:rsidR="00EF5311">
        <w:rPr>
          <w:rFonts w:ascii="Times New Roman" w:eastAsia="Times New Roman" w:hAnsi="Times New Roman" w:cs="Times New Roman"/>
          <w:color w:val="000000" w:themeColor="text1"/>
          <w:sz w:val="24"/>
          <w:szCs w:val="24"/>
        </w:rPr>
        <w:t>economic and monetary unions)</w:t>
      </w:r>
      <w:r w:rsidR="00EF5311">
        <w:rPr>
          <w:rStyle w:val="Appelnotedebasdep"/>
          <w:rFonts w:ascii="Times New Roman" w:eastAsia="Times New Roman" w:hAnsi="Times New Roman" w:cs="Times New Roman"/>
          <w:color w:val="000000" w:themeColor="text1"/>
          <w:sz w:val="24"/>
          <w:szCs w:val="24"/>
        </w:rPr>
        <w:footnoteReference w:id="6"/>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GATT defines the customs union as the “substitution of a single customs territory for two or m</w:t>
      </w:r>
      <w:r w:rsidR="00EF5311">
        <w:rPr>
          <w:rFonts w:ascii="Times New Roman" w:eastAsia="Times New Roman" w:hAnsi="Times New Roman" w:cs="Times New Roman"/>
          <w:color w:val="000000" w:themeColor="text1"/>
          <w:sz w:val="24"/>
          <w:szCs w:val="24"/>
        </w:rPr>
        <w:t>ore other customs territories</w:t>
      </w:r>
      <w:r w:rsidR="00EF5311">
        <w:rPr>
          <w:rStyle w:val="Appelnotedebasdep"/>
          <w:rFonts w:ascii="Times New Roman" w:eastAsia="Times New Roman" w:hAnsi="Times New Roman" w:cs="Times New Roman"/>
          <w:color w:val="000000" w:themeColor="text1"/>
          <w:sz w:val="24"/>
          <w:szCs w:val="24"/>
        </w:rPr>
        <w:footnoteReference w:id="7"/>
      </w:r>
      <w:r w:rsidRPr="65AF6301">
        <w:rPr>
          <w:rFonts w:ascii="Times New Roman" w:eastAsia="Times New Roman" w:hAnsi="Times New Roman" w:cs="Times New Roman"/>
          <w:color w:val="000000" w:themeColor="text1"/>
          <w:sz w:val="24"/>
          <w:szCs w:val="24"/>
        </w:rPr>
        <w:t xml:space="preserve">, provided that “the essential part of commercial exchanges” is liberalized between the members and that there is a common customs tariff towards third countries. For its part, a free trade zone consists of the liberalization of “essentially commercial exchanges” relating to products originating from the member territories. Thus, customs unions and free trade zones share a fundamental common objective, namely the elimination of tariff and non-tariff barriers on “the essential part” of their commercial exchanges. On the other hand, the customs union is more restrictive due to the existence of a common customs tariff towards </w:t>
      </w:r>
      <w:r w:rsidRPr="65AF6301">
        <w:rPr>
          <w:rFonts w:ascii="Times New Roman" w:eastAsia="Times New Roman" w:hAnsi="Times New Roman" w:cs="Times New Roman"/>
          <w:color w:val="000000" w:themeColor="text1"/>
          <w:sz w:val="24"/>
          <w:szCs w:val="24"/>
        </w:rPr>
        <w:lastRenderedPageBreak/>
        <w:t>the outside world. The union has its own external customs personality while the member countries of a free trade zone retain their external commercial powers. Consequently, for the latter, trade liberalization will only concern products originating from the zone which will have to be determined by the adoption of appropriate rules of origin based on the degree of processing of the products. Due to its common external tariff protection, members of a customs union must grant the benefit of free movement to all products, regardless of their origin, local or imported. Constituting a “distinct customs territory enjoying complete autonomy in the conduct of (their) external commercial relations”, customs unions (and this is the case of the European Community) are thus e</w:t>
      </w:r>
      <w:r w:rsidR="00EF5311">
        <w:rPr>
          <w:rFonts w:ascii="Times New Roman" w:eastAsia="Times New Roman" w:hAnsi="Times New Roman" w:cs="Times New Roman"/>
          <w:color w:val="000000" w:themeColor="text1"/>
          <w:sz w:val="24"/>
          <w:szCs w:val="24"/>
        </w:rPr>
        <w:t>ntitled to be part of the WTO</w:t>
      </w:r>
      <w:r w:rsidR="00EF5311">
        <w:rPr>
          <w:rStyle w:val="Appelnotedebasdep"/>
          <w:rFonts w:ascii="Times New Roman" w:eastAsia="Times New Roman" w:hAnsi="Times New Roman" w:cs="Times New Roman"/>
          <w:color w:val="000000" w:themeColor="text1"/>
          <w:sz w:val="24"/>
          <w:szCs w:val="24"/>
        </w:rPr>
        <w:footnoteReference w:id="8"/>
      </w:r>
      <w:r w:rsidRPr="65AF6301">
        <w:rPr>
          <w:rFonts w:ascii="Times New Roman" w:eastAsia="Times New Roman" w:hAnsi="Times New Roman" w:cs="Times New Roman"/>
          <w:color w:val="000000" w:themeColor="text1"/>
          <w:sz w:val="24"/>
          <w:szCs w:val="24"/>
        </w:rPr>
        <w:t>. The principled position of the General Agreement in favor of these two types of economic integration is explained by the central goal that they must pursue, namely “to facilitate tr</w:t>
      </w:r>
      <w:r w:rsidR="00B24511">
        <w:rPr>
          <w:rFonts w:ascii="Times New Roman" w:eastAsia="Times New Roman" w:hAnsi="Times New Roman" w:cs="Times New Roman"/>
          <w:color w:val="000000" w:themeColor="text1"/>
          <w:sz w:val="24"/>
          <w:szCs w:val="24"/>
        </w:rPr>
        <w:t>ade” between the participants</w:t>
      </w:r>
      <w:r w:rsidR="00B24511">
        <w:rPr>
          <w:rStyle w:val="Appelnotedebasdep"/>
          <w:rFonts w:ascii="Times New Roman" w:eastAsia="Times New Roman" w:hAnsi="Times New Roman" w:cs="Times New Roman"/>
          <w:color w:val="000000" w:themeColor="text1"/>
          <w:sz w:val="24"/>
          <w:szCs w:val="24"/>
        </w:rPr>
        <w:footnoteReference w:id="9"/>
      </w:r>
      <w:r w:rsidRPr="65AF6301">
        <w:rPr>
          <w:rFonts w:ascii="Times New Roman" w:eastAsia="Times New Roman" w:hAnsi="Times New Roman" w:cs="Times New Roman"/>
          <w:color w:val="000000" w:themeColor="text1"/>
          <w:sz w:val="24"/>
          <w:szCs w:val="24"/>
        </w:rPr>
        <w:t>. Conversely, they must refrain from “posing obstacles to trade with third countries”. This is to suggest that certain economic integrations would be “good” while others would be “bad</w:t>
      </w:r>
      <w:proofErr w:type="gramStart"/>
      <w:r w:rsidRPr="65AF6301">
        <w:rPr>
          <w:rFonts w:ascii="Times New Roman" w:eastAsia="Times New Roman" w:hAnsi="Times New Roman" w:cs="Times New Roman"/>
          <w:color w:val="000000" w:themeColor="text1"/>
          <w:sz w:val="24"/>
          <w:szCs w:val="24"/>
        </w:rPr>
        <w:t>”;</w:t>
      </w:r>
      <w:proofErr w:type="gramEnd"/>
      <w:r w:rsidRPr="65AF6301">
        <w:rPr>
          <w:rFonts w:ascii="Times New Roman" w:eastAsia="Times New Roman" w:hAnsi="Times New Roman" w:cs="Times New Roman"/>
          <w:color w:val="000000" w:themeColor="text1"/>
          <w:sz w:val="24"/>
          <w:szCs w:val="24"/>
        </w:rPr>
        <w:t xml:space="preserve"> the former should be validated while the latter should be avoided. In reality, all the conditions set by the GATT for the legality of regional economic integrations are well based on this </w:t>
      </w:r>
      <w:proofErr w:type="gramStart"/>
      <w:r w:rsidRPr="65AF6301">
        <w:rPr>
          <w:rFonts w:ascii="Times New Roman" w:eastAsia="Times New Roman" w:hAnsi="Times New Roman" w:cs="Times New Roman"/>
          <w:color w:val="000000" w:themeColor="text1"/>
          <w:sz w:val="24"/>
          <w:szCs w:val="24"/>
        </w:rPr>
        <w:t>distinction;</w:t>
      </w:r>
      <w:proofErr w:type="gramEnd"/>
      <w:r w:rsidRPr="65AF6301">
        <w:rPr>
          <w:rFonts w:ascii="Times New Roman" w:eastAsia="Times New Roman" w:hAnsi="Times New Roman" w:cs="Times New Roman"/>
          <w:color w:val="000000" w:themeColor="text1"/>
          <w:sz w:val="24"/>
          <w:szCs w:val="24"/>
        </w:rPr>
        <w:t xml:space="preserve"> they aim to ensure that only “good” integrations will see the light of day.</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Thus, trade preferences at the WTO are based on an exception to one of the pillars of the system, which is the MFN clause. Exceptions to this principle are strictly enshrined in WTO law and require a specific decision. The two types of exception it admits are closely linked to Regional Trade Agreements (RTAs). They concern regional economic integration agreements which are agreements by which a group of countries reciprocally grant each other preferential commercial advantages such as, for example, a reduction in customs duties. These advantages are then reserved for member countries of the agreement and refused to others. The second type concerns trade “preferences” granted to developing countries. These are more favorable trade regimes aimed at promoting the development of these countries. This type of regime derogating from the MFN clause is recognized by the WTO agreements under the Gene</w:t>
      </w:r>
      <w:r w:rsidR="00EF5311">
        <w:rPr>
          <w:rFonts w:ascii="Times New Roman" w:eastAsia="Times New Roman" w:hAnsi="Times New Roman" w:cs="Times New Roman"/>
          <w:color w:val="000000" w:themeColor="text1"/>
          <w:sz w:val="24"/>
          <w:szCs w:val="24"/>
        </w:rPr>
        <w:t>ralized System of Preferences</w:t>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Under Article XXIV of the GATT, RTAs are orga</w:t>
      </w:r>
      <w:r w:rsidR="00B30EFD">
        <w:rPr>
          <w:rFonts w:ascii="Times New Roman" w:eastAsia="Times New Roman" w:hAnsi="Times New Roman" w:cs="Times New Roman"/>
          <w:color w:val="000000" w:themeColor="text1"/>
          <w:sz w:val="24"/>
          <w:szCs w:val="24"/>
        </w:rPr>
        <w:t>nized as a Free Trade Area</w:t>
      </w:r>
      <w:r w:rsidR="00B30EFD">
        <w:rPr>
          <w:rStyle w:val="Appelnotedebasdep"/>
          <w:rFonts w:ascii="Times New Roman" w:eastAsia="Times New Roman" w:hAnsi="Times New Roman" w:cs="Times New Roman"/>
          <w:color w:val="000000" w:themeColor="text1"/>
          <w:sz w:val="24"/>
          <w:szCs w:val="24"/>
        </w:rPr>
        <w:footnoteReference w:id="10"/>
      </w:r>
      <w:r w:rsidR="00B30EFD">
        <w:rPr>
          <w:rFonts w:ascii="Times New Roman" w:eastAsia="Times New Roman" w:hAnsi="Times New Roman" w:cs="Times New Roman"/>
          <w:color w:val="000000" w:themeColor="text1"/>
          <w:sz w:val="24"/>
          <w:szCs w:val="24"/>
        </w:rPr>
        <w:t xml:space="preserve"> or a Customs Union</w:t>
      </w:r>
      <w:r w:rsidR="00B30EFD">
        <w:rPr>
          <w:rStyle w:val="Appelnotedebasdep"/>
          <w:rFonts w:ascii="Times New Roman" w:eastAsia="Times New Roman" w:hAnsi="Times New Roman" w:cs="Times New Roman"/>
          <w:color w:val="000000" w:themeColor="text1"/>
          <w:sz w:val="24"/>
          <w:szCs w:val="24"/>
        </w:rPr>
        <w:footnoteReference w:id="11"/>
      </w:r>
      <w:r w:rsidRPr="65AF6301">
        <w:rPr>
          <w:rFonts w:ascii="Times New Roman" w:eastAsia="Times New Roman" w:hAnsi="Times New Roman" w:cs="Times New Roman"/>
          <w:color w:val="000000" w:themeColor="text1"/>
          <w:sz w:val="24"/>
          <w:szCs w:val="24"/>
        </w:rPr>
        <w:t>, the latter being more integrated to the point of applying a common external tariff. The questi</w:t>
      </w:r>
      <w:r w:rsidR="00B30EFD">
        <w:rPr>
          <w:rFonts w:ascii="Times New Roman" w:eastAsia="Times New Roman" w:hAnsi="Times New Roman" w:cs="Times New Roman"/>
          <w:color w:val="000000" w:themeColor="text1"/>
          <w:sz w:val="24"/>
          <w:szCs w:val="24"/>
        </w:rPr>
        <w:t>oning of the Lomé Conventions</w:t>
      </w:r>
      <w:r w:rsidR="00B30EFD">
        <w:rPr>
          <w:rStyle w:val="Appelnotedebasdep"/>
          <w:rFonts w:ascii="Times New Roman" w:eastAsia="Times New Roman" w:hAnsi="Times New Roman" w:cs="Times New Roman"/>
          <w:color w:val="000000" w:themeColor="text1"/>
          <w:sz w:val="24"/>
          <w:szCs w:val="24"/>
        </w:rPr>
        <w:footnoteReference w:id="12"/>
      </w:r>
      <w:r w:rsidRPr="65AF6301">
        <w:rPr>
          <w:rFonts w:ascii="Times New Roman" w:eastAsia="Times New Roman" w:hAnsi="Times New Roman" w:cs="Times New Roman"/>
          <w:color w:val="000000" w:themeColor="text1"/>
          <w:sz w:val="24"/>
          <w:szCs w:val="24"/>
        </w:rPr>
        <w:t xml:space="preserve"> led to two bleak prospects for African countries: the return to global reciprocity in their relations with Europe, as was previously the case</w:t>
      </w:r>
      <w:r w:rsidR="00B30EFD">
        <w:rPr>
          <w:rFonts w:ascii="Times New Roman" w:eastAsia="Times New Roman" w:hAnsi="Times New Roman" w:cs="Times New Roman"/>
          <w:color w:val="000000" w:themeColor="text1"/>
          <w:sz w:val="24"/>
          <w:szCs w:val="24"/>
        </w:rPr>
        <w:t xml:space="preserve"> with the Yaoundé Conventions</w:t>
      </w:r>
      <w:r w:rsidR="00B30EFD">
        <w:rPr>
          <w:rStyle w:val="Appelnotedebasdep"/>
          <w:rFonts w:ascii="Times New Roman" w:eastAsia="Times New Roman" w:hAnsi="Times New Roman" w:cs="Times New Roman"/>
          <w:color w:val="000000" w:themeColor="text1"/>
          <w:sz w:val="24"/>
          <w:szCs w:val="24"/>
        </w:rPr>
        <w:footnoteReference w:id="13"/>
      </w:r>
      <w:r w:rsidRPr="65AF6301">
        <w:rPr>
          <w:rFonts w:ascii="Times New Roman" w:eastAsia="Times New Roman" w:hAnsi="Times New Roman" w:cs="Times New Roman"/>
          <w:color w:val="000000" w:themeColor="text1"/>
          <w:sz w:val="24"/>
          <w:szCs w:val="24"/>
        </w:rPr>
        <w:t xml:space="preserve"> or the resignation to see one's preferences previously exclusive, be extended to other developing countries. This alternative poses the whole reality of the EPAs which are being negotiated between the ACP and the EU; the choice of rec</w:t>
      </w:r>
      <w:r w:rsidR="00484133">
        <w:rPr>
          <w:rFonts w:ascii="Times New Roman" w:eastAsia="Times New Roman" w:hAnsi="Times New Roman" w:cs="Times New Roman"/>
          <w:color w:val="000000" w:themeColor="text1"/>
          <w:sz w:val="24"/>
          <w:szCs w:val="24"/>
        </w:rPr>
        <w:t>iprocity having been ratified</w:t>
      </w:r>
      <w:r w:rsidR="00484133">
        <w:rPr>
          <w:rStyle w:val="Appelnotedebasdep"/>
          <w:rFonts w:ascii="Times New Roman" w:eastAsia="Times New Roman" w:hAnsi="Times New Roman" w:cs="Times New Roman"/>
          <w:color w:val="000000" w:themeColor="text1"/>
          <w:sz w:val="24"/>
          <w:szCs w:val="24"/>
        </w:rPr>
        <w:footnoteReference w:id="14"/>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African countries therefore face the dilemma of the need to reconcile the legal requirement of compliance with WTO rules and the economic need to have preferences to guarantee progressive and gradual integration into the international trading system. The concern is how to continue to benefit from preferences within the framework of a commercial relationship governed by reciprocity. The EPAs, as envisaged, do not provide a convincing solution.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At this stage, it is useful to question the need for a SDT for ACP countries in the EPAs. The trade preferences they were able to benefit from under the Lomé agreements did not produce convincing economic results. It is added that it is legitimate to wonder whether the interest of the ACP countries would not be in a resolute perspective of integration into the multilateral trading system, by subjecting themselves to common rules rather than in the demand for differentiated treatment.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postulate of this study is based on another logic. The first is that the principle of any SDT is based on a need to correct economic inequalities through relevant legal provisions. This can be done both through longer implementation deadlines and through exemptions on certain principles of international trade. In all cases, the basic idea remains the development of a differential framework which is capable of preparing the integration of developing countries into the system. The lifespan of this framework and its substantial content depend on the economic level of the beneficiaries. From this point of view, the persistence of ACP countries in requesting flexibilities within the framework of the EPAs remains legitimate, to the extent that their current economic situation does not predispose them to maintain full free trade with the European Communities.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second logic is due to the fact that the ACP countries will have no commercial or political interest in maintaining a free trade regime with Europe, at the regional level, under conditions less favorable than those in force at the WTO. This is also an opportunity to recall that the signing of these EPAs remains free and voluntary and should not constitute, for the ACP, even more restrictive economic commitments.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third logic lies in the fact that, even if the desire to integrate the trading system remains the ultimate objective, nothing prevents the ACP countries from providing themselves with substantial room for maneuver to prepare their economies for free trade. They can achieve this by negotiating provisional legal measures that will guarantee their progressive and rhythmic march towards neoliberal globalization.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 xml:space="preserve">Therefore, the invocation of a TSD in the EPAs in no way reflects a chronic need for unlimited assistance. For the ACP, it is a question of setting a specific pace for themselves, by opening their market at their own pace, as the industrialized countries had to do at a certain point in their evolution. It is also not accidental that voices are being raised at the WTO to raise the debate on the nature of SDT which must no longer be summed up in a litany of exceptions, but should be taken as </w:t>
      </w:r>
      <w:proofErr w:type="gramStart"/>
      <w:r w:rsidRPr="65AF6301">
        <w:rPr>
          <w:rFonts w:ascii="Times New Roman" w:eastAsia="Times New Roman" w:hAnsi="Times New Roman" w:cs="Times New Roman"/>
          <w:color w:val="000000" w:themeColor="text1"/>
          <w:sz w:val="24"/>
          <w:szCs w:val="24"/>
        </w:rPr>
        <w:t>a</w:t>
      </w:r>
      <w:proofErr w:type="gramEnd"/>
      <w:r w:rsidRPr="65AF6301">
        <w:rPr>
          <w:rFonts w:ascii="Times New Roman" w:eastAsia="Times New Roman" w:hAnsi="Times New Roman" w:cs="Times New Roman"/>
          <w:color w:val="000000" w:themeColor="text1"/>
          <w:sz w:val="24"/>
          <w:szCs w:val="24"/>
        </w:rPr>
        <w:t xml:space="preserve"> structural measure of recovery of the economies of the countries of the South.</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All things being equal, legal bases for trade weighting regimes are contained in the WTO agreements. The Enabling Clause and Article XXIV govern the means of granting trade preferences under both the GSP and RTAs. It is clear that as they stand, these provisions do not leave room for a SDT in an EPA in the form of a mixed RTA as planned.</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Would this mean that ACP developing countries should give up the SDT they benefit from at the WTO in their bilateral relations with the </w:t>
      </w:r>
      <w:proofErr w:type="gramStart"/>
      <w:r w:rsidRPr="65AF6301">
        <w:rPr>
          <w:rFonts w:ascii="Times New Roman" w:eastAsia="Times New Roman" w:hAnsi="Times New Roman" w:cs="Times New Roman"/>
          <w:color w:val="000000" w:themeColor="text1"/>
          <w:sz w:val="24"/>
          <w:szCs w:val="24"/>
        </w:rPr>
        <w:t>EU?</w:t>
      </w:r>
      <w:proofErr w:type="gramEnd"/>
      <w:r w:rsidRPr="65AF6301">
        <w:rPr>
          <w:rFonts w:ascii="Times New Roman" w:eastAsia="Times New Roman" w:hAnsi="Times New Roman" w:cs="Times New Roman"/>
          <w:color w:val="000000" w:themeColor="text1"/>
          <w:sz w:val="24"/>
          <w:szCs w:val="24"/>
        </w:rPr>
        <w:t xml:space="preserve"> This question raises both the problem of managing the “legal vacuum” at the WTO on the regime of mixed RTAs between developed and developing countries but also that of the coherence of the international trading system. It is accepted that commercial regionalism operates as a complement to the multilateral system. It is supposed to extend and strengthen it, instead of weakening it. The achievements of developing countries should not be called into question due to a lack of legislation which can be explained less by a systemic choice than by a contextual framework that is now out of step.</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Preferences in favor of developing countries within the GATT framework have been formalized through a slow but continuous evolution. Designed in several formats, they have never been able to conquer the field of mixed ACRs.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Already in 1955, modifications were made during the revision of Article XVIII of the GATT which had the effect of introducing, for the first time, the notion of differential treatment for developing countries. These provisions are structured around a certain number of preferences granted to them, in order to encourage, among other things, the creation of a branch of production determined to raise the general standard of living of the populations.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But it should be noted that the original text of the GATT did not envisage preferences in favor of developing countries. The only weighting was for reciprocal free trade within customs unions and free trade areas, in accordance with Article XXIV. From there was born the ban on </w:t>
      </w:r>
      <w:r w:rsidRPr="65AF6301">
        <w:rPr>
          <w:rFonts w:ascii="Times New Roman" w:eastAsia="Times New Roman" w:hAnsi="Times New Roman" w:cs="Times New Roman"/>
          <w:color w:val="000000" w:themeColor="text1"/>
          <w:sz w:val="24"/>
          <w:szCs w:val="24"/>
        </w:rPr>
        <w:lastRenderedPageBreak/>
        <w:t>the accumulation of preferences that are both non-</w:t>
      </w:r>
      <w:r w:rsidR="00594BB4">
        <w:rPr>
          <w:rFonts w:ascii="Times New Roman" w:eastAsia="Times New Roman" w:hAnsi="Times New Roman" w:cs="Times New Roman"/>
          <w:color w:val="000000" w:themeColor="text1"/>
          <w:sz w:val="24"/>
          <w:szCs w:val="24"/>
        </w:rPr>
        <w:t>reciprocal and discriminatory</w:t>
      </w:r>
      <w:r w:rsidR="00594BB4">
        <w:rPr>
          <w:rStyle w:val="Appelnotedebasdep"/>
          <w:rFonts w:ascii="Times New Roman" w:eastAsia="Times New Roman" w:hAnsi="Times New Roman" w:cs="Times New Roman"/>
          <w:color w:val="000000" w:themeColor="text1"/>
          <w:sz w:val="24"/>
          <w:szCs w:val="24"/>
        </w:rPr>
        <w:footnoteReference w:id="15"/>
      </w:r>
      <w:r w:rsidRPr="65AF6301">
        <w:rPr>
          <w:rFonts w:ascii="Times New Roman" w:eastAsia="Times New Roman" w:hAnsi="Times New Roman" w:cs="Times New Roman"/>
          <w:color w:val="000000" w:themeColor="text1"/>
          <w:sz w:val="24"/>
          <w:szCs w:val="24"/>
        </w:rPr>
        <w:t>. Preferential imports from developing countries could not fall within the scope of this article, as they did not include reciprocity measures. Likewise, the low volume and number of products covered by these trade preferences do not meet the requirement of Article XXIV for free trade zones to cover “substantially all trade”. We can therefore conclude that under the original GATT regime, trade preferences in favor of developing countries were simpl</w:t>
      </w:r>
      <w:r w:rsidR="00594BB4">
        <w:rPr>
          <w:rFonts w:ascii="Times New Roman" w:eastAsia="Times New Roman" w:hAnsi="Times New Roman" w:cs="Times New Roman"/>
          <w:color w:val="000000" w:themeColor="text1"/>
          <w:sz w:val="24"/>
          <w:szCs w:val="24"/>
        </w:rPr>
        <w:t>y illegal</w:t>
      </w:r>
      <w:r w:rsidR="00594BB4">
        <w:rPr>
          <w:rStyle w:val="Appelnotedebasdep"/>
          <w:rFonts w:ascii="Times New Roman" w:eastAsia="Times New Roman" w:hAnsi="Times New Roman" w:cs="Times New Roman"/>
          <w:color w:val="000000" w:themeColor="text1"/>
          <w:sz w:val="24"/>
          <w:szCs w:val="24"/>
        </w:rPr>
        <w:footnoteReference w:id="16"/>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Part IV of the GATT, negotiated in 1964, only half-solves the problem, by introducing the principle of non-reciprocity as an exception to the MFN clause. This Part IV is a conciliation between the need for development (TSD) and the cardinal principles of the Organization. It </w:t>
      </w:r>
      <w:proofErr w:type="gramStart"/>
      <w:r w:rsidRPr="65AF6301">
        <w:rPr>
          <w:rFonts w:ascii="Times New Roman" w:eastAsia="Times New Roman" w:hAnsi="Times New Roman" w:cs="Times New Roman"/>
          <w:color w:val="000000" w:themeColor="text1"/>
          <w:sz w:val="24"/>
          <w:szCs w:val="24"/>
        </w:rPr>
        <w:t>codifies</w:t>
      </w:r>
      <w:proofErr w:type="gramEnd"/>
      <w:r w:rsidRPr="65AF6301">
        <w:rPr>
          <w:rFonts w:ascii="Times New Roman" w:eastAsia="Times New Roman" w:hAnsi="Times New Roman" w:cs="Times New Roman"/>
          <w:color w:val="000000" w:themeColor="text1"/>
          <w:sz w:val="24"/>
          <w:szCs w:val="24"/>
        </w:rPr>
        <w:t>, in the multilateral trading system, the notion of non-reciprocity in trade relations between developed and developing countries. However, the rule of reciprocity is only set aside for developing countries when developed countries negotiate non-preferential concessions with them, which de facto rules out a specific regime of trade preferences. To be able to grant more preferential treatment to imports from developing countries, developed countries had to resort to a specific exemption, by means of paragraph 5 of Article XXIV of the GATT, in the form of a waiver. It is the GSP of 1971, the substance of which is to allow developed countries to grant preferential tariff treatment to products originating from developing countries and territories, without granting said treatment to similar products originating from other contracting parties.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perpetuation of trade preferences took place in 1979 with the enabling clause which provides that "notwithstanding the provisions of Article 1 of the General Agreement, the </w:t>
      </w:r>
      <w:r w:rsidRPr="65AF6301">
        <w:rPr>
          <w:rFonts w:ascii="Times New Roman" w:eastAsia="Times New Roman" w:hAnsi="Times New Roman" w:cs="Times New Roman"/>
          <w:color w:val="000000" w:themeColor="text1"/>
          <w:sz w:val="24"/>
          <w:szCs w:val="24"/>
        </w:rPr>
        <w:lastRenderedPageBreak/>
        <w:t xml:space="preserve">contracting parties may grant differentiated and more favorable treatment to developing countries , without granting it </w:t>
      </w:r>
      <w:r w:rsidR="00594BB4">
        <w:rPr>
          <w:rFonts w:ascii="Times New Roman" w:eastAsia="Times New Roman" w:hAnsi="Times New Roman" w:cs="Times New Roman"/>
          <w:color w:val="000000" w:themeColor="text1"/>
          <w:sz w:val="24"/>
          <w:szCs w:val="24"/>
        </w:rPr>
        <w:t>to other contracting parties”</w:t>
      </w:r>
      <w:r w:rsidR="00594BB4">
        <w:rPr>
          <w:rStyle w:val="Appelnotedebasdep"/>
          <w:rFonts w:ascii="Times New Roman" w:eastAsia="Times New Roman" w:hAnsi="Times New Roman" w:cs="Times New Roman"/>
          <w:color w:val="000000" w:themeColor="text1"/>
          <w:sz w:val="24"/>
          <w:szCs w:val="24"/>
        </w:rPr>
        <w:footnoteReference w:id="17"/>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Even if the legal basis for trade preferences is now clearly established, we must not lose sight of the fact that their granting depends exclusively on the goodwill of donor countries. The only real constraints lie in the prohibition of discrimination between potentially beneficiary developing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other limitation of the clause is that it governs preferences granted by developed countries and those reciprocal between developing countries, without taking into account the specific interests of LDCs or trade relations between developed and developing countries in the context of 'an RTA. A decision of June 15, 1999 taken by the member states of the WTO filled this gap, by providing that “the provisions of paragraph 1 of article 1 of the General Agreement of 1994 are waived until 30 June 2009, to the extent necessary, to enable developing country members to grant preferential tariff treatment to products from least developed countries, as designated by the United Nations, without being required to accord the same treatment tariff on similar products from any other member…on a generalized, non-reciprocal and non-discriminatory basis.” It appears that LDCs can benefit from non-reciprocal preferential treatment from developed and developing countries. But ultimately, neither this decision, nor the enabling clause, nor the other derogations and exemptions provide a legal basis for specific preferences like those granted by the EU to ACP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Therefore, it appeared that Article XXIV of the GATT does not explicitly define a weighting regime for developing countries in the framework of mixed RTAs. The enabling clause also </w:t>
      </w:r>
      <w:r w:rsidRPr="65AF6301">
        <w:rPr>
          <w:rFonts w:ascii="Times New Roman" w:eastAsia="Times New Roman" w:hAnsi="Times New Roman" w:cs="Times New Roman"/>
          <w:color w:val="000000" w:themeColor="text1"/>
          <w:sz w:val="24"/>
          <w:szCs w:val="24"/>
        </w:rPr>
        <w:lastRenderedPageBreak/>
        <w:t>does not include provisions governing mixed RTAs. Only Article V of the General Agreemen</w:t>
      </w:r>
      <w:r w:rsidR="00A301C4">
        <w:rPr>
          <w:rFonts w:ascii="Times New Roman" w:eastAsia="Times New Roman" w:hAnsi="Times New Roman" w:cs="Times New Roman"/>
          <w:color w:val="000000" w:themeColor="text1"/>
          <w:sz w:val="24"/>
          <w:szCs w:val="24"/>
        </w:rPr>
        <w:t>t on Trade in Services (GATS)</w:t>
      </w:r>
      <w:r w:rsidR="00A301C4">
        <w:rPr>
          <w:rStyle w:val="Appelnotedebasdep"/>
          <w:rFonts w:ascii="Times New Roman" w:eastAsia="Times New Roman" w:hAnsi="Times New Roman" w:cs="Times New Roman"/>
          <w:color w:val="000000" w:themeColor="text1"/>
          <w:sz w:val="24"/>
          <w:szCs w:val="24"/>
        </w:rPr>
        <w:footnoteReference w:id="18"/>
      </w:r>
      <w:r w:rsidRPr="65AF6301">
        <w:rPr>
          <w:rFonts w:ascii="Times New Roman" w:eastAsia="Times New Roman" w:hAnsi="Times New Roman" w:cs="Times New Roman"/>
          <w:color w:val="000000" w:themeColor="text1"/>
          <w:sz w:val="24"/>
          <w:szCs w:val="24"/>
        </w:rPr>
        <w:t xml:space="preserve"> provides for SDT for the benefit of developing countries, within the framework of mixed RTAs. In this context, it is difficult to envisage EPAs including non-reciprocal preferences, due to a lack of legal basis.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However, SDT is experiencing renewed interest with the Doha round. It is intended to be an integral part of the system and remain invokeable by developing countries in their commercial relations with developed countries. However, mixed RTAs remain an unprecedented scenario which is not taken into account by the legal provisions in force. We cannot therefore consider that the flexibilities in the EPAs result from a voluntary systemic orientation which would make them non-compliant with trade liberalization. The case</w:t>
      </w:r>
      <w:r w:rsidR="00A301C4">
        <w:rPr>
          <w:rFonts w:ascii="Times New Roman" w:eastAsia="Times New Roman" w:hAnsi="Times New Roman" w:cs="Times New Roman"/>
          <w:color w:val="000000" w:themeColor="text1"/>
          <w:sz w:val="24"/>
          <w:szCs w:val="24"/>
        </w:rPr>
        <w:t>s of jurisprudence at the WTO</w:t>
      </w:r>
      <w:r w:rsidR="00A301C4">
        <w:rPr>
          <w:rStyle w:val="Appelnotedebasdep"/>
          <w:rFonts w:ascii="Times New Roman" w:eastAsia="Times New Roman" w:hAnsi="Times New Roman" w:cs="Times New Roman"/>
          <w:color w:val="000000" w:themeColor="text1"/>
          <w:sz w:val="24"/>
          <w:szCs w:val="24"/>
        </w:rPr>
        <w:footnoteReference w:id="19"/>
      </w:r>
      <w:r w:rsidRPr="65AF6301">
        <w:rPr>
          <w:rFonts w:ascii="Times New Roman" w:eastAsia="Times New Roman" w:hAnsi="Times New Roman" w:cs="Times New Roman"/>
          <w:color w:val="000000" w:themeColor="text1"/>
          <w:sz w:val="24"/>
          <w:szCs w:val="24"/>
        </w:rPr>
        <w:t xml:space="preserve"> considered to be contrary to the MFN clause have implicitly chosen to classify mixed RTAs outside the scope of Article XXIV and to declare the preferences provided therein discriminatory against other countries being in the same category of development. It would have been interesting to adopt an innovative approach to determine whether what is not expressly authorized by law is supposed to be prohibited. Faced with the lack of a clear legal category for mixed RTAs, we preferred to reaffirm the coherence of the system by revaluing the principle of non-discrimination.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Looking more closely at the Cotonou Agreement, we realize that Article 34.4 states that "economic and commercial cooperation shall be implemented in full conformity with the provisions of the WTO, including special treatment and differentiated”. This provision is interpreted as setting the level of SDT at the WTO and as being the legal ceiling on the level of SDT to be achieved through EPAs. If therefore ACP flexibilities should not be greater than those in force at the WTO under the risk of incompatibility, they should not be inferior either. The combined requirements of Articles I (MFN clause) and 34 of the Cotonou Agreement thus </w:t>
      </w:r>
      <w:r w:rsidRPr="65AF6301">
        <w:rPr>
          <w:rFonts w:ascii="Times New Roman" w:eastAsia="Times New Roman" w:hAnsi="Times New Roman" w:cs="Times New Roman"/>
          <w:color w:val="000000" w:themeColor="text1"/>
          <w:sz w:val="24"/>
          <w:szCs w:val="24"/>
        </w:rPr>
        <w:lastRenderedPageBreak/>
        <w:t>neutralize each other to result in a quasi-standard SDT to be included in the EPAs. But in reality, an ACP SDT modeled on the WTO SDT amounts exactly to MFN duties and would only be a minimum common rule applicable to all developing countries, well beyond the ACP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Thus Article XXIV constitutes the legal basis of regional integrations. This provision constitutes one of the major exceptions to Article I, since its paragraph 5 authorizes the contracting parties to establish a customs union or a free trade area, subject to the conditions it lists. As it is an exception, this provision should, logically, be interpreted strictly. However, it has given rise to divergences of opinion among Member States regarding its interpretation. These divergences occur both on a material and formal level. However, it seems approp</w:t>
      </w:r>
      <w:r w:rsidR="002C42FB">
        <w:rPr>
          <w:rFonts w:ascii="Times New Roman" w:eastAsia="Times New Roman" w:hAnsi="Times New Roman" w:cs="Times New Roman"/>
          <w:color w:val="000000" w:themeColor="text1"/>
          <w:sz w:val="24"/>
          <w:szCs w:val="24"/>
        </w:rPr>
        <w:t>riate to research its origins</w:t>
      </w:r>
      <w:r w:rsidR="002C42FB">
        <w:rPr>
          <w:rStyle w:val="Appelnotedebasdep"/>
          <w:rFonts w:ascii="Times New Roman" w:eastAsia="Times New Roman" w:hAnsi="Times New Roman" w:cs="Times New Roman"/>
          <w:color w:val="000000" w:themeColor="text1"/>
          <w:sz w:val="24"/>
          <w:szCs w:val="24"/>
        </w:rPr>
        <w:footnoteReference w:id="20"/>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While it constitutes one of the most important exceptions to the principle of Articl</w:t>
      </w:r>
      <w:r w:rsidR="002C42FB">
        <w:rPr>
          <w:rFonts w:ascii="Times New Roman" w:eastAsia="Times New Roman" w:hAnsi="Times New Roman" w:cs="Times New Roman"/>
          <w:color w:val="000000" w:themeColor="text1"/>
          <w:sz w:val="24"/>
          <w:szCs w:val="24"/>
        </w:rPr>
        <w:t>e I of the GATT, Article XXIV</w:t>
      </w:r>
      <w:r w:rsidR="002C42FB">
        <w:rPr>
          <w:rStyle w:val="Appelnotedebasdep"/>
          <w:rFonts w:ascii="Times New Roman" w:eastAsia="Times New Roman" w:hAnsi="Times New Roman" w:cs="Times New Roman"/>
          <w:color w:val="000000" w:themeColor="text1"/>
          <w:sz w:val="24"/>
          <w:szCs w:val="24"/>
        </w:rPr>
        <w:footnoteReference w:id="21"/>
      </w:r>
      <w:r w:rsidRPr="65AF6301">
        <w:rPr>
          <w:rFonts w:ascii="Times New Roman" w:eastAsia="Times New Roman" w:hAnsi="Times New Roman" w:cs="Times New Roman"/>
          <w:color w:val="000000" w:themeColor="text1"/>
          <w:sz w:val="24"/>
          <w:szCs w:val="24"/>
        </w:rPr>
        <w:t xml:space="preserve"> remains at the same time one of the most controversial but also the most ambiguous provisions of the text of the Agreement general.</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This state of affairs leads to nuanced assessments of this provision which make legal control difficult.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From the outset, doctrine was divided on the content of Article XXIV. While some jurists criticized the ambiguity of its substantive provisions, others expressed their hostility towards the said article. The multiplicity of criticisms expressed with regard to this article have undermined the effectiveness of the embryonic mechanism for controlling RTAs under the GATT regime. Thus, in the entire history of GATT, only the Customs Union between the Czech Republic and the Slovak Republic has been found to comply with Article XXIV. For the rest, no other regional integration has since been disqualified for non-compliance with the requirements of the said article, due to the real inactivity of the Committee.</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In the report of the Leutwiler Group submitted to the</w:t>
      </w:r>
      <w:r w:rsidR="00315BDF">
        <w:rPr>
          <w:rFonts w:ascii="Times New Roman" w:eastAsia="Times New Roman" w:hAnsi="Times New Roman" w:cs="Times New Roman"/>
          <w:color w:val="000000" w:themeColor="text1"/>
          <w:sz w:val="24"/>
          <w:szCs w:val="24"/>
        </w:rPr>
        <w:t xml:space="preserve"> Director General of the GATT</w:t>
      </w:r>
      <w:r w:rsidR="00315BDF">
        <w:rPr>
          <w:rStyle w:val="Appelnotedebasdep"/>
          <w:rFonts w:ascii="Times New Roman" w:eastAsia="Times New Roman" w:hAnsi="Times New Roman" w:cs="Times New Roman"/>
          <w:color w:val="000000" w:themeColor="text1"/>
          <w:sz w:val="24"/>
          <w:szCs w:val="24"/>
        </w:rPr>
        <w:footnoteReference w:id="22"/>
      </w:r>
      <w:r w:rsidRPr="65AF6301">
        <w:rPr>
          <w:rFonts w:ascii="Times New Roman" w:eastAsia="Times New Roman" w:hAnsi="Times New Roman" w:cs="Times New Roman"/>
          <w:color w:val="000000" w:themeColor="text1"/>
          <w:sz w:val="24"/>
          <w:szCs w:val="24"/>
        </w:rPr>
        <w:t xml:space="preserve"> in 1985, the group of experts noted, like the observations of the Deputy Director, that the creation of the RTAs Committee by the WTO agreements had nothing exchange. It has even reinforced the dominant opinion according to which normative control has limits.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As the Leutwiler report notes, the weak justiciability of the provisions of Article XXIV results from the circumstances of its birth. In reality, this article is the result of an instrument of United States trade policy. Initially, the stated intentions of the Americans in promoting this provision were to encourage developing countries to sign the Havana Charter. This contained provisions that were very favorable to this group of countries in that they already recognized the principle of a SDT. For the Americans, on the other hand, the facilitation of regional integration should not generate trade distortions to the detriment of third countries. This is the reason why Article XXIV was originally intended to authorize only Customs Unions. Under pressure from developing countries who wanted to control their external trade policy, it was agreed to extend the provisions of Article XXIV to free trade zones.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adoption of regional integration was therefore acquired in principle and it could be considered that a step had been taken in the direction of taking into account the specific needs of developing countries. This was not the case because, in reality, this provision had not been adopted in favor of developing countries but was, from the outset, designed as an offensive commercial policy instrument. Alongside the signing of the GATT, the United States wanted more rapid liberalization of its trade with Canada. Through the trade treaty negotiated then signed but never ratified, the United States intended to pursue three objectives. The ACR had firstly to include a transitional period in its implementation, so as not to rush its constitution. Furthermore, it should only assume a partial liberalization of </w:t>
      </w:r>
      <w:proofErr w:type="gramStart"/>
      <w:r w:rsidRPr="65AF6301">
        <w:rPr>
          <w:rFonts w:ascii="Times New Roman" w:eastAsia="Times New Roman" w:hAnsi="Times New Roman" w:cs="Times New Roman"/>
          <w:color w:val="000000" w:themeColor="text1"/>
          <w:sz w:val="24"/>
          <w:szCs w:val="24"/>
        </w:rPr>
        <w:t>trade;</w:t>
      </w:r>
      <w:proofErr w:type="gramEnd"/>
      <w:r w:rsidRPr="65AF6301">
        <w:rPr>
          <w:rFonts w:ascii="Times New Roman" w:eastAsia="Times New Roman" w:hAnsi="Times New Roman" w:cs="Times New Roman"/>
          <w:color w:val="000000" w:themeColor="text1"/>
          <w:sz w:val="24"/>
          <w:szCs w:val="24"/>
        </w:rPr>
        <w:t xml:space="preserve"> which would make it possible to exclude a certain number of so-called sensitive products. Finally, the neutrality of the RTA with regard to third countries resulting from the requirement not to raise trade barriers, in order to avoid the phenomenon of Trade diversion, had to be circumscribed temporally to the constitution of the preferential zone.</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It is therefore from this commercial treaty that the emergence of the still unclear provisions of Article XXIV results, which continue to generate divergences of views regarding their interpretation.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On the material level, first of all, two elements arouse </w:t>
      </w:r>
      <w:proofErr w:type="gramStart"/>
      <w:r w:rsidRPr="65AF6301">
        <w:rPr>
          <w:rFonts w:ascii="Times New Roman" w:eastAsia="Times New Roman" w:hAnsi="Times New Roman" w:cs="Times New Roman"/>
          <w:color w:val="000000" w:themeColor="text1"/>
          <w:sz w:val="24"/>
          <w:szCs w:val="24"/>
        </w:rPr>
        <w:t>interest:</w:t>
      </w:r>
      <w:proofErr w:type="gramEnd"/>
      <w:r w:rsidRPr="65AF6301">
        <w:rPr>
          <w:rFonts w:ascii="Times New Roman" w:eastAsia="Times New Roman" w:hAnsi="Times New Roman" w:cs="Times New Roman"/>
          <w:color w:val="000000" w:themeColor="text1"/>
          <w:sz w:val="24"/>
          <w:szCs w:val="24"/>
        </w:rPr>
        <w:t xml:space="preserve"> the question of the removal of restrictions on most trade and the requirement to avoid restrictive commercial regulations.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formal requirements lead us to question essentially two </w:t>
      </w:r>
      <w:proofErr w:type="gramStart"/>
      <w:r w:rsidRPr="65AF6301">
        <w:rPr>
          <w:rFonts w:ascii="Times New Roman" w:eastAsia="Times New Roman" w:hAnsi="Times New Roman" w:cs="Times New Roman"/>
          <w:color w:val="000000" w:themeColor="text1"/>
          <w:sz w:val="24"/>
          <w:szCs w:val="24"/>
        </w:rPr>
        <w:t>points:</w:t>
      </w:r>
      <w:proofErr w:type="gramEnd"/>
      <w:r w:rsidRPr="65AF6301">
        <w:rPr>
          <w:rFonts w:ascii="Times New Roman" w:eastAsia="Times New Roman" w:hAnsi="Times New Roman" w:cs="Times New Roman"/>
          <w:color w:val="000000" w:themeColor="text1"/>
          <w:sz w:val="24"/>
          <w:szCs w:val="24"/>
        </w:rPr>
        <w:t xml:space="preserve"> the period of implementation of regional integration and the scope of application rationae loci of the integration. Regarding the duration of the transitional period, although Article XXIV specifies that it must be reasonable, that is to say not exceed ten years except in exceptional circumstances (which are not determined), the The EU believed it saw, in the inequalities of development, an exceptional circumstance capable of justifying a period of at least 12 years. This interpretation could be acceptable, if it were based on a sufficiently clear legal basis. In the absence of the latter, we risk witnessing the multiplication of national approaches, thus exposing RTAs to endless challenges.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Furthermore, with regard to the definition of a Customs Union, again the matter remains </w:t>
      </w:r>
      <w:proofErr w:type="gramStart"/>
      <w:r w:rsidRPr="65AF6301">
        <w:rPr>
          <w:rFonts w:ascii="Times New Roman" w:eastAsia="Times New Roman" w:hAnsi="Times New Roman" w:cs="Times New Roman"/>
          <w:color w:val="000000" w:themeColor="text1"/>
          <w:sz w:val="24"/>
          <w:szCs w:val="24"/>
        </w:rPr>
        <w:t>obscure;</w:t>
      </w:r>
      <w:proofErr w:type="gramEnd"/>
      <w:r w:rsidRPr="65AF6301">
        <w:rPr>
          <w:rFonts w:ascii="Times New Roman" w:eastAsia="Times New Roman" w:hAnsi="Times New Roman" w:cs="Times New Roman"/>
          <w:color w:val="000000" w:themeColor="text1"/>
          <w:sz w:val="24"/>
          <w:szCs w:val="24"/>
        </w:rPr>
        <w:t xml:space="preserve"> we wondered whether this union should only bring together economically homogeneous territories and/or contiguous territories. Although a general consensus has emerged to admit that the Customs Union can cover non-contiguous territories, the unprecedented question of EPAs has not been resolved. These agreements are doubly characteristic of a </w:t>
      </w:r>
      <w:proofErr w:type="gramStart"/>
      <w:r w:rsidRPr="65AF6301">
        <w:rPr>
          <w:rFonts w:ascii="Times New Roman" w:eastAsia="Times New Roman" w:hAnsi="Times New Roman" w:cs="Times New Roman"/>
          <w:color w:val="000000" w:themeColor="text1"/>
          <w:sz w:val="24"/>
          <w:szCs w:val="24"/>
        </w:rPr>
        <w:t>novation:</w:t>
      </w:r>
      <w:proofErr w:type="gramEnd"/>
      <w:r w:rsidRPr="65AF6301">
        <w:rPr>
          <w:rFonts w:ascii="Times New Roman" w:eastAsia="Times New Roman" w:hAnsi="Times New Roman" w:cs="Times New Roman"/>
          <w:color w:val="000000" w:themeColor="text1"/>
          <w:sz w:val="24"/>
          <w:szCs w:val="24"/>
        </w:rPr>
        <w:t xml:space="preserve"> they are both intended to concern territories without common borders but above all they link two economic blocs with varying levels of economic development. It is therefore more fundamentally a question of whether the system of preferences contained in the provisions of Article XXIV can concern Customs Unions involving members at different levels of development.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history of Article XXIV shows that this provision was not originally designed to embrace mixed agreements between rich and poor countries. Indeed, given the purpose of the trade agreement between the United States and Canada, the RTAs have never integrated the development issues that are mainly claimed by the countries of the South. Since mixed agreements were not governed by this provision, it gradually resulted in the establishment of a dual regime. Consensus and practice were built around the idea that Article XXIV should only govern integrations between rich countries while the Enabling Clause would regulate RTAs between countries of the South. This state of affairs was appreciable from the point of view of </w:t>
      </w:r>
      <w:r w:rsidRPr="65AF6301">
        <w:rPr>
          <w:rFonts w:ascii="Times New Roman" w:eastAsia="Times New Roman" w:hAnsi="Times New Roman" w:cs="Times New Roman"/>
          <w:color w:val="000000" w:themeColor="text1"/>
          <w:sz w:val="24"/>
          <w:szCs w:val="24"/>
        </w:rPr>
        <w:lastRenderedPageBreak/>
        <w:t>developing countries which, through an opting out mechanism, renounced any use of Article XXIV which did not contain the necessary flexibility. This situation could not remain intangible to the extent that the introduction of flexibilities could only be justified in view of the capacities of the economies of the South.</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As these economies emerged, recourse to the development criterion to disqualify mixed agreements under Article XXIV could no longer operate with regard to certain countries which, without integrating the group of most favored </w:t>
      </w:r>
      <w:proofErr w:type="gramStart"/>
      <w:r w:rsidRPr="65AF6301">
        <w:rPr>
          <w:rFonts w:ascii="Times New Roman" w:eastAsia="Times New Roman" w:hAnsi="Times New Roman" w:cs="Times New Roman"/>
          <w:color w:val="000000" w:themeColor="text1"/>
          <w:sz w:val="24"/>
          <w:szCs w:val="24"/>
        </w:rPr>
        <w:t>nations ,</w:t>
      </w:r>
      <w:proofErr w:type="gramEnd"/>
      <w:r w:rsidRPr="65AF6301">
        <w:rPr>
          <w:rFonts w:ascii="Times New Roman" w:eastAsia="Times New Roman" w:hAnsi="Times New Roman" w:cs="Times New Roman"/>
          <w:color w:val="000000" w:themeColor="text1"/>
          <w:sz w:val="24"/>
          <w:szCs w:val="24"/>
        </w:rPr>
        <w:t xml:space="preserve"> had nevertheless experienced economic growth, unquestionably excluding them from the category of developing countries. Thus, at the beginning of the 1990s, the richest countries among the developing countries made extensive use of mixed agreements and thus engaged in preferential agreements with the rich countries for which they did not necessarily claim treatment. </w:t>
      </w:r>
      <w:proofErr w:type="gramStart"/>
      <w:r w:rsidRPr="65AF6301">
        <w:rPr>
          <w:rFonts w:ascii="Times New Roman" w:eastAsia="Times New Roman" w:hAnsi="Times New Roman" w:cs="Times New Roman"/>
          <w:color w:val="000000" w:themeColor="text1"/>
          <w:sz w:val="24"/>
          <w:szCs w:val="24"/>
        </w:rPr>
        <w:t>differentiated</w:t>
      </w:r>
      <w:proofErr w:type="gramEnd"/>
      <w:r w:rsidRPr="65AF6301">
        <w:rPr>
          <w:rFonts w:ascii="Times New Roman" w:eastAsia="Times New Roman" w:hAnsi="Times New Roman" w:cs="Times New Roman"/>
          <w:color w:val="000000" w:themeColor="text1"/>
          <w:sz w:val="24"/>
          <w:szCs w:val="24"/>
        </w:rPr>
        <w:t xml:space="preserve"> with regard to them.</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new configuration of international trade relations has, to some extent, accelerated the desire of poor countries to increasingly engage in purely mixed preferential agreements. It gave them the opportunity to reaffirm the importance of the principle of pre-GATT SDT. These countries considered it important to recall that the emergence of TSD resulting from the awareness by civilized nations that the principle of the sovereign equality of States prevailing in international law and whose most characteristic manifestation in international trade law is embodied by the cardinal article of the GATT, was based on a myth. Their arguments could boast of the existence of precedents. Indeed, from the first legal expression of SDT by Article XVIII of the GATT allowing developing countries to free themselves from their obligations under Article I in order to protect their emerging industry in particular, we had the article XXVIII which affirms the principle of non-reciprocity, enshrined and institutionalized by the provisions of Part IV, without forgetting the important enabling clause.</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For developing countries, it was no longer possible to disqualify mixed RTAs under Article XXIV. On the contrary, everything should be done to allow the conclusion of such agreements, finally recognizing the possibility of differentiated treatment. The EU's interpretation is completely different but above all it is difficult to justify with regard to the requirements of international trade.</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Despite the rigidity of the legal provisions, there remain possibilities for introducing a SDT in future EPAs, by reforming the legal framework but also by interpreting, in </w:t>
      </w:r>
      <w:proofErr w:type="gramStart"/>
      <w:r w:rsidRPr="65AF6301">
        <w:rPr>
          <w:rFonts w:ascii="Times New Roman" w:eastAsia="Times New Roman" w:hAnsi="Times New Roman" w:cs="Times New Roman"/>
          <w:color w:val="000000" w:themeColor="text1"/>
          <w:sz w:val="24"/>
          <w:szCs w:val="24"/>
        </w:rPr>
        <w:t>a</w:t>
      </w:r>
      <w:proofErr w:type="gramEnd"/>
      <w:r w:rsidRPr="65AF6301">
        <w:rPr>
          <w:rFonts w:ascii="Times New Roman" w:eastAsia="Times New Roman" w:hAnsi="Times New Roman" w:cs="Times New Roman"/>
          <w:color w:val="000000" w:themeColor="text1"/>
          <w:sz w:val="24"/>
          <w:szCs w:val="24"/>
        </w:rPr>
        <w:t xml:space="preserve"> more flexible manner, the rules governing RTAs. This enterprise can be driven and facilitated by the recent </w:t>
      </w:r>
      <w:r w:rsidRPr="65AF6301">
        <w:rPr>
          <w:rFonts w:ascii="Times New Roman" w:eastAsia="Times New Roman" w:hAnsi="Times New Roman" w:cs="Times New Roman"/>
          <w:color w:val="000000" w:themeColor="text1"/>
          <w:sz w:val="24"/>
          <w:szCs w:val="24"/>
        </w:rPr>
        <w:lastRenderedPageBreak/>
        <w:t>decision of the WTO DSB which establishes a possible differentiation between developing countries in th</w:t>
      </w:r>
      <w:r w:rsidR="00A153D1">
        <w:rPr>
          <w:rFonts w:ascii="Times New Roman" w:eastAsia="Times New Roman" w:hAnsi="Times New Roman" w:cs="Times New Roman"/>
          <w:color w:val="000000" w:themeColor="text1"/>
          <w:sz w:val="24"/>
          <w:szCs w:val="24"/>
        </w:rPr>
        <w:t>e multilateral trading system</w:t>
      </w:r>
      <w:r w:rsidR="00A153D1">
        <w:rPr>
          <w:rStyle w:val="Appelnotedebasdep"/>
          <w:rFonts w:ascii="Times New Roman" w:eastAsia="Times New Roman" w:hAnsi="Times New Roman" w:cs="Times New Roman"/>
          <w:color w:val="000000" w:themeColor="text1"/>
          <w:sz w:val="24"/>
          <w:szCs w:val="24"/>
        </w:rPr>
        <w:footnoteReference w:id="23"/>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WTO Committee on Regional Trade Agreements (CACR) is at the heart of controversies related to the interpretation of the rules for creating RTAs contained in Article XXIV of the GATT. Implementation of the Doha mandate requires it to "clarify and improve the disciplines and procedures provided for in existing WTO provisions that apply to regional trade agreements, while taking into account their "...re</w:t>
      </w:r>
      <w:r w:rsidR="00A153D1">
        <w:rPr>
          <w:rFonts w:ascii="Times New Roman" w:eastAsia="Times New Roman" w:hAnsi="Times New Roman" w:cs="Times New Roman"/>
          <w:color w:val="000000" w:themeColor="text1"/>
          <w:sz w:val="24"/>
          <w:szCs w:val="24"/>
        </w:rPr>
        <w:t>lated aspects... development »</w:t>
      </w:r>
      <w:r w:rsidR="00A153D1">
        <w:rPr>
          <w:rStyle w:val="Appelnotedebasdep"/>
          <w:rFonts w:ascii="Times New Roman" w:eastAsia="Times New Roman" w:hAnsi="Times New Roman" w:cs="Times New Roman"/>
          <w:color w:val="000000" w:themeColor="text1"/>
          <w:sz w:val="24"/>
          <w:szCs w:val="24"/>
        </w:rPr>
        <w:footnoteReference w:id="24"/>
      </w:r>
      <w:r w:rsidR="00A153D1">
        <w:rPr>
          <w:rFonts w:ascii="Times New Roman" w:eastAsia="Times New Roman" w:hAnsi="Times New Roman" w:cs="Times New Roman"/>
          <w:color w:val="000000" w:themeColor="text1"/>
          <w:sz w:val="24"/>
          <w:szCs w:val="24"/>
        </w:rPr>
        <w:t xml:space="preserve">. </w:t>
      </w:r>
      <w:r w:rsidR="00A153D1">
        <w:rPr>
          <w:rStyle w:val="Appelnotedebasdep"/>
          <w:rFonts w:ascii="Times New Roman" w:eastAsia="Times New Roman" w:hAnsi="Times New Roman" w:cs="Times New Roman"/>
          <w:color w:val="000000" w:themeColor="text1"/>
          <w:sz w:val="24"/>
          <w:szCs w:val="24"/>
        </w:rPr>
        <w:footnoteReference w:id="25"/>
      </w:r>
      <w:r w:rsidRPr="65AF6301">
        <w:rPr>
          <w:rFonts w:ascii="Times New Roman" w:eastAsia="Times New Roman" w:hAnsi="Times New Roman" w:cs="Times New Roman"/>
          <w:color w:val="000000" w:themeColor="text1"/>
          <w:sz w:val="24"/>
          <w:szCs w:val="24"/>
        </w:rPr>
        <w:t xml:space="preserve">Three delicate questions are of particular interest to ACP countries. These are, first, the taking into account of development issues in mixed RTAs, then the problem of the scope of application of RTAs set out in paragraph 8 of Article XXIV of the GATT (to what liberalization measures taken within the framework of </w:t>
      </w:r>
      <w:proofErr w:type="gramStart"/>
      <w:r w:rsidRPr="65AF6301">
        <w:rPr>
          <w:rFonts w:ascii="Times New Roman" w:eastAsia="Times New Roman" w:hAnsi="Times New Roman" w:cs="Times New Roman"/>
          <w:color w:val="000000" w:themeColor="text1"/>
          <w:sz w:val="24"/>
          <w:szCs w:val="24"/>
        </w:rPr>
        <w:t>RTAs?</w:t>
      </w:r>
      <w:proofErr w:type="gramEnd"/>
      <w:r w:rsidRPr="65AF6301">
        <w:rPr>
          <w:rFonts w:ascii="Times New Roman" w:eastAsia="Times New Roman" w:hAnsi="Times New Roman" w:cs="Times New Roman"/>
          <w:color w:val="000000" w:themeColor="text1"/>
          <w:sz w:val="24"/>
          <w:szCs w:val="24"/>
        </w:rPr>
        <w:t>) and, finally, the problem of transition periods set out in paragraph 5(c) of Article XXIV which raises the question of the time limits for implementing liberalization measures taken within the framework of RTAs . An extensive, even flexible, interpretation of the WTO provisions relating to these questions would allow ACP countries to be able to consider implementing future EPAs with the</w:t>
      </w:r>
      <w:r w:rsidR="00A153D1">
        <w:rPr>
          <w:rFonts w:ascii="Times New Roman" w:eastAsia="Times New Roman" w:hAnsi="Times New Roman" w:cs="Times New Roman"/>
          <w:color w:val="000000" w:themeColor="text1"/>
          <w:sz w:val="24"/>
          <w:szCs w:val="24"/>
        </w:rPr>
        <w:t xml:space="preserve"> maximum possible flexibility</w:t>
      </w:r>
      <w:r w:rsidR="00A153D1">
        <w:rPr>
          <w:rStyle w:val="Appelnotedebasdep"/>
          <w:rFonts w:ascii="Times New Roman" w:eastAsia="Times New Roman" w:hAnsi="Times New Roman" w:cs="Times New Roman"/>
          <w:color w:val="000000" w:themeColor="text1"/>
          <w:sz w:val="24"/>
          <w:szCs w:val="24"/>
        </w:rPr>
        <w:footnoteReference w:id="26"/>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Article XXIV does not adequately take into account the development aspects of RTAs between developed and developing countries. The ACP members also believe that they do not understand the fact that Article 5 of the GATS explicitly provides for a SDT for economic </w:t>
      </w:r>
      <w:r w:rsidRPr="65AF6301">
        <w:rPr>
          <w:rFonts w:ascii="Times New Roman" w:eastAsia="Times New Roman" w:hAnsi="Times New Roman" w:cs="Times New Roman"/>
          <w:color w:val="000000" w:themeColor="text1"/>
          <w:sz w:val="24"/>
          <w:szCs w:val="24"/>
        </w:rPr>
        <w:lastRenderedPageBreak/>
        <w:t>integration agreements in which developed and developing countries can participate, whereas it does not This is not the case for its counterpart which is Article XXIV of the GATT. On this basis, the ACP countries request to correct what is for them a "gap", by agreeing that a SDT will be formally and explicitly offered to developing countries, to meet the criteria set out in paragraphs 5 to 8 of the article XXIV of GATT, in the context of regional agreements concluded between developing and developed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On this chapter, the European communities adopt the same position, arguing that there is not much coherence and logic in the treatment of the different types of RTAs to which developing countries adhere, mainly because "the existing rules do not give rise to fair and equitable treatment between different types of RTAs based on their impact on development and the extent to which they encourage the participation of developing countries in world trade. Therefore, they will need to be clarified and improved to pay particular attention to the tangible benefits of economic integration through more ambitious RTAs between developed and developing countries.</w:t>
      </w:r>
    </w:p>
    <w:p w:rsidR="00582B64" w:rsidRDefault="00582B64" w:rsidP="65AF6301">
      <w:pPr>
        <w:spacing w:before="120" w:after="120" w:line="360" w:lineRule="auto"/>
        <w:jc w:val="both"/>
        <w:rPr>
          <w:rFonts w:ascii="Times New Roman" w:eastAsia="Times New Roman" w:hAnsi="Times New Roman" w:cs="Times New Roman"/>
          <w:color w:val="000000" w:themeColor="text1"/>
          <w:sz w:val="24"/>
          <w:szCs w:val="24"/>
        </w:rPr>
      </w:pP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Delimiting the scope of free trade zones raises the problem of the level of liberalization. It is assessed through the notion of “most commercial exchanges”. In the case of a mixed RTA such as that involving the European communities and the ACP countries, the interpretation of this notion takes on particular importance for the countries of the South which consider that their economies are not sufficiently prepared for an all-out opening of their markets. Without positioning themselves as defenders of protectionism, they invoke the basic arguments which led to the recognition of special and differential treatment at the GATT/WTO level. The argument of the legal adjustment of economic inequalities which establishes preferences and other flexibilities in international trade would be meaningless if it is not incorporated into commercial regionalism which extends and completes the multilateral trading system. Indeed, it would be inconsistent to deny developing countries flexibilities already recognized by the multilateral trading system, within the framework of mixed RTAs. Therefore, the notion of the bulk of trade should not be interpreted in the same way depending on whether we are in an RTA bringing together countries with the same level of development or in a mixed RTA.</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ACP countries have understood this well by asking that this issue be treated with appropriate flexibility for developing countries, mainly on two levels. First, quantitatively, overall trade with northern partners, within the framework of a free trade zone, should not reach </w:t>
      </w:r>
      <w:r w:rsidRPr="65AF6301">
        <w:rPr>
          <w:rFonts w:ascii="Times New Roman" w:eastAsia="Times New Roman" w:hAnsi="Times New Roman" w:cs="Times New Roman"/>
          <w:color w:val="000000" w:themeColor="text1"/>
          <w:sz w:val="24"/>
          <w:szCs w:val="24"/>
        </w:rPr>
        <w:lastRenderedPageBreak/>
        <w:t>a certain threshold. If the method based on the percentage of trade is traditionally the one preferred to use to assess the scope of application of an RTA within the fra</w:t>
      </w:r>
      <w:r w:rsidR="006D2EE0">
        <w:rPr>
          <w:rFonts w:ascii="Times New Roman" w:eastAsia="Times New Roman" w:hAnsi="Times New Roman" w:cs="Times New Roman"/>
          <w:color w:val="000000" w:themeColor="text1"/>
          <w:sz w:val="24"/>
          <w:szCs w:val="24"/>
        </w:rPr>
        <w:t>mework of the GATT or the WTO</w:t>
      </w:r>
      <w:r w:rsidR="006D2EE0">
        <w:rPr>
          <w:rStyle w:val="Appelnotedebasdep"/>
          <w:rFonts w:ascii="Times New Roman" w:eastAsia="Times New Roman" w:hAnsi="Times New Roman" w:cs="Times New Roman"/>
          <w:color w:val="000000" w:themeColor="text1"/>
          <w:sz w:val="24"/>
          <w:szCs w:val="24"/>
        </w:rPr>
        <w:footnoteReference w:id="27"/>
      </w:r>
      <w:r w:rsidRPr="65AF6301">
        <w:rPr>
          <w:rFonts w:ascii="Times New Roman" w:eastAsia="Times New Roman" w:hAnsi="Times New Roman" w:cs="Times New Roman"/>
          <w:color w:val="000000" w:themeColor="text1"/>
          <w:sz w:val="24"/>
          <w:szCs w:val="24"/>
        </w:rPr>
        <w:t>, various consistent sources report an interpretation of the notion of “substantially all trade” as having to cover 80 to 90% of trade between the parties to an RTA. Such a proportion of liberalization would not be in the interests of developing countries.</w:t>
      </w:r>
      <w:r w:rsidRPr="65AF6301">
        <w:rPr>
          <w:rFonts w:ascii="Times New Roman" w:eastAsia="Times New Roman" w:hAnsi="Times New Roman" w:cs="Times New Roman"/>
          <w:color w:val="FF0000"/>
          <w:sz w:val="24"/>
          <w:szCs w:val="24"/>
        </w:rPr>
        <w:t xml:space="preserve"> </w:t>
      </w:r>
      <w:r w:rsidRPr="65AF6301">
        <w:rPr>
          <w:rFonts w:ascii="Times New Roman" w:eastAsia="Times New Roman" w:hAnsi="Times New Roman" w:cs="Times New Roman"/>
          <w:color w:val="000000" w:themeColor="text1"/>
          <w:sz w:val="24"/>
          <w:szCs w:val="24"/>
        </w:rPr>
        <w:t>However, officially, no quantitative indication is given. ACP countries are already emphasizing the choice of a favorable method and lower threshold levels to determine the level of trade. For the European Communities, any numerical criteria to determine the scope of application should be based primarily on the exchanges covered. For them, any future quantitative criteria can only serve as an evaluation tool and an indication to determine probable conformity with the WTO.</w:t>
      </w:r>
    </w:p>
    <w:p w:rsidR="00582B64" w:rsidRDefault="00582B64" w:rsidP="65AF6301">
      <w:pPr>
        <w:spacing w:before="120" w:after="120" w:line="360" w:lineRule="auto"/>
        <w:jc w:val="both"/>
        <w:rPr>
          <w:rFonts w:ascii="Times New Roman" w:eastAsia="Times New Roman" w:hAnsi="Times New Roman" w:cs="Times New Roman"/>
          <w:color w:val="000000" w:themeColor="text1"/>
          <w:sz w:val="24"/>
          <w:szCs w:val="24"/>
        </w:rPr>
      </w:pP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Then, qualitatively, the level of exchange also implies the choice of the targeted products. The need to protect certain local branches, with a view to the emergence of efficient industries, does not argue for a liberalization of certain sectors which are the object of the EU's desire in terms of market opening. For reasons of food security and/or rural development, certain agricultural products cannot be opened to competition. In the same way, certain sectors excluded from the Doha round negotiations, for obvious economic reasons, cannot be engaged in the path of liberalization outside the system. For example, opening a liberalization agenda on investment and competition in the EPAs amounts to ignoring the deep economic reasons which exempt the ACP countries from opening up in these areas and to a negation of at least differentiated treatment.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Whatever the methods – quantitative and qualitative – adopted for the determination of a liberalization threshold, in accordance with paragraph 8b of Article XXIV, it must always be kept in mind that true special and differential treatment results the desire to provide developing countries with a legal and economic framework capable of guaranteeing their upgrading and preparing their integration into the international trading system.</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For ACP countries, taking into account their specificities would require a precise and extensive definition of notions such as “major sector”. They could also secure lists of exceptions to the obligation to eliminate duties and other restrictive trade regulations, provided for in Article </w:t>
      </w:r>
      <w:proofErr w:type="gramStart"/>
      <w:r w:rsidRPr="65AF6301">
        <w:rPr>
          <w:rFonts w:ascii="Times New Roman" w:eastAsia="Times New Roman" w:hAnsi="Times New Roman" w:cs="Times New Roman"/>
          <w:color w:val="000000" w:themeColor="text1"/>
          <w:sz w:val="24"/>
          <w:szCs w:val="24"/>
        </w:rPr>
        <w:lastRenderedPageBreak/>
        <w:t>XXIV:</w:t>
      </w:r>
      <w:proofErr w:type="gramEnd"/>
      <w:r w:rsidRPr="65AF6301">
        <w:rPr>
          <w:rFonts w:ascii="Times New Roman" w:eastAsia="Times New Roman" w:hAnsi="Times New Roman" w:cs="Times New Roman"/>
          <w:color w:val="000000" w:themeColor="text1"/>
          <w:sz w:val="24"/>
          <w:szCs w:val="24"/>
        </w:rPr>
        <w:t xml:space="preserve"> 8(a)(i) and (b), and work towards possible seasonal restrictions, special sectoral safeguards and tariff quotas adapted to their situation.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This is why the question of the transition period set out in paragraph 5(c) of Article XXIV of the GATT is important. It concerns the time frame that can be granted for the implementation of an RTA. The notion of reasonable time is</w:t>
      </w:r>
      <w:r w:rsidRPr="65AF6301">
        <w:rPr>
          <w:rFonts w:ascii="Times New Roman" w:eastAsia="Times New Roman" w:hAnsi="Times New Roman" w:cs="Times New Roman"/>
          <w:color w:val="FF0000"/>
          <w:sz w:val="24"/>
          <w:szCs w:val="24"/>
        </w:rPr>
        <w:t xml:space="preserve"> </w:t>
      </w:r>
      <w:r w:rsidRPr="65AF6301">
        <w:rPr>
          <w:rFonts w:ascii="Times New Roman" w:eastAsia="Times New Roman" w:hAnsi="Times New Roman" w:cs="Times New Roman"/>
          <w:color w:val="000000" w:themeColor="text1"/>
          <w:sz w:val="24"/>
          <w:szCs w:val="24"/>
        </w:rPr>
        <w:t>also interpreted differently. A consensus seemed to be formed around a prescribed period “which should only exceed 1</w:t>
      </w:r>
      <w:r w:rsidR="005D7C70">
        <w:rPr>
          <w:rFonts w:ascii="Times New Roman" w:eastAsia="Times New Roman" w:hAnsi="Times New Roman" w:cs="Times New Roman"/>
          <w:color w:val="000000" w:themeColor="text1"/>
          <w:sz w:val="24"/>
          <w:szCs w:val="24"/>
        </w:rPr>
        <w:t>0 years in exceptional cases”</w:t>
      </w:r>
      <w:r w:rsidR="005D7C70">
        <w:rPr>
          <w:rStyle w:val="Appelnotedebasdep"/>
          <w:rFonts w:ascii="Times New Roman" w:eastAsia="Times New Roman" w:hAnsi="Times New Roman" w:cs="Times New Roman"/>
          <w:color w:val="000000" w:themeColor="text1"/>
          <w:sz w:val="24"/>
          <w:szCs w:val="24"/>
        </w:rPr>
        <w:footnoteReference w:id="28"/>
      </w:r>
      <w:r w:rsidRPr="65AF6301">
        <w:rPr>
          <w:rFonts w:ascii="Times New Roman" w:eastAsia="Times New Roman" w:hAnsi="Times New Roman" w:cs="Times New Roman"/>
          <w:color w:val="000000" w:themeColor="text1"/>
          <w:sz w:val="24"/>
          <w:szCs w:val="24"/>
        </w:rPr>
        <w:t xml:space="preserve">. For the ACP countries, the issue is in the interpretation of the “exceptional circumstances” in question and which should be clarified so that a transition period of more than 10 years is legitimately and more easily offered to developing countries. The </w:t>
      </w:r>
      <w:r w:rsidR="005D7C70">
        <w:rPr>
          <w:rFonts w:ascii="Times New Roman" w:eastAsia="Times New Roman" w:hAnsi="Times New Roman" w:cs="Times New Roman"/>
          <w:color w:val="000000" w:themeColor="text1"/>
          <w:sz w:val="24"/>
          <w:szCs w:val="24"/>
        </w:rPr>
        <w:t>proposal of the ACP countries</w:t>
      </w:r>
      <w:r w:rsidR="005D7C70">
        <w:rPr>
          <w:rStyle w:val="Appelnotedebasdep"/>
          <w:rFonts w:ascii="Times New Roman" w:eastAsia="Times New Roman" w:hAnsi="Times New Roman" w:cs="Times New Roman"/>
          <w:color w:val="000000" w:themeColor="text1"/>
          <w:sz w:val="24"/>
          <w:szCs w:val="24"/>
        </w:rPr>
        <w:footnoteReference w:id="29"/>
      </w:r>
      <w:r w:rsidRPr="65AF6301">
        <w:rPr>
          <w:rFonts w:ascii="Times New Roman" w:eastAsia="Times New Roman" w:hAnsi="Times New Roman" w:cs="Times New Roman"/>
          <w:color w:val="000000" w:themeColor="text1"/>
          <w:sz w:val="24"/>
          <w:szCs w:val="24"/>
        </w:rPr>
        <w:t>, expressly formulated to this effect, mentions a period which should not be less than 18 years, taking into account the situation of the ACP countries in terms of tr</w:t>
      </w:r>
      <w:r w:rsidR="005D7C70">
        <w:rPr>
          <w:rFonts w:ascii="Times New Roman" w:eastAsia="Times New Roman" w:hAnsi="Times New Roman" w:cs="Times New Roman"/>
          <w:color w:val="000000" w:themeColor="text1"/>
          <w:sz w:val="24"/>
          <w:szCs w:val="24"/>
        </w:rPr>
        <w:t>ade, development and finances</w:t>
      </w:r>
      <w:r w:rsidR="005D7C70">
        <w:rPr>
          <w:rStyle w:val="Appelnotedebasdep"/>
          <w:rFonts w:ascii="Times New Roman" w:eastAsia="Times New Roman" w:hAnsi="Times New Roman" w:cs="Times New Roman"/>
          <w:color w:val="000000" w:themeColor="text1"/>
          <w:sz w:val="24"/>
          <w:szCs w:val="24"/>
        </w:rPr>
        <w:footnoteReference w:id="30"/>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As already mentioned, the main problem posed by the absence of a non-reciprocal preferential regime in future EPAs results from the failure to take into account mixed RTAs in WTO law. Two solutions can be considered to remedy this: the revision of Article XXIV and the extension of the</w:t>
      </w:r>
      <w:r w:rsidR="005D7C70">
        <w:rPr>
          <w:rFonts w:ascii="Times New Roman" w:eastAsia="Times New Roman" w:hAnsi="Times New Roman" w:cs="Times New Roman"/>
          <w:color w:val="000000" w:themeColor="text1"/>
          <w:sz w:val="24"/>
          <w:szCs w:val="24"/>
        </w:rPr>
        <w:t xml:space="preserve"> scope of the enabling clause</w:t>
      </w:r>
      <w:r w:rsidR="005D7C70">
        <w:rPr>
          <w:rStyle w:val="Appelnotedebasdep"/>
          <w:rFonts w:ascii="Times New Roman" w:eastAsia="Times New Roman" w:hAnsi="Times New Roman" w:cs="Times New Roman"/>
          <w:color w:val="000000" w:themeColor="text1"/>
          <w:sz w:val="24"/>
          <w:szCs w:val="24"/>
        </w:rPr>
        <w:footnoteReference w:id="31"/>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For the first solution, the main motivation for the revision of Article XXIV would be to achieve an extensive conception of RTAs by considering that preferential treatment between </w:t>
      </w:r>
      <w:r w:rsidRPr="65AF6301">
        <w:rPr>
          <w:rFonts w:ascii="Times New Roman" w:eastAsia="Times New Roman" w:hAnsi="Times New Roman" w:cs="Times New Roman"/>
          <w:color w:val="000000" w:themeColor="text1"/>
          <w:sz w:val="24"/>
          <w:szCs w:val="24"/>
        </w:rPr>
        <w:lastRenderedPageBreak/>
        <w:t>developing countries and developed countries, within the framework of a free</w:t>
      </w:r>
      <w:r w:rsidR="005D7C70">
        <w:rPr>
          <w:rFonts w:ascii="Times New Roman" w:eastAsia="Times New Roman" w:hAnsi="Times New Roman" w:cs="Times New Roman"/>
          <w:color w:val="000000" w:themeColor="text1"/>
          <w:sz w:val="24"/>
          <w:szCs w:val="24"/>
        </w:rPr>
        <w:t xml:space="preserve"> trade area</w:t>
      </w:r>
      <w:r w:rsidRPr="65AF6301">
        <w:rPr>
          <w:rFonts w:ascii="Times New Roman" w:eastAsia="Times New Roman" w:hAnsi="Times New Roman" w:cs="Times New Roman"/>
          <w:color w:val="000000" w:themeColor="text1"/>
          <w:sz w:val="24"/>
          <w:szCs w:val="24"/>
        </w:rPr>
        <w:t>, would no longer be considered discriminatory as is the case until now. For ACP countries, this would encourage an increase in their preferential commercial access to the European market while regulating their imports from Europe.</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The current wording of Article XXIV was negotiated at a time when there w</w:t>
      </w:r>
      <w:r w:rsidR="00F60E11">
        <w:rPr>
          <w:rFonts w:ascii="Times New Roman" w:eastAsia="Times New Roman" w:hAnsi="Times New Roman" w:cs="Times New Roman"/>
          <w:color w:val="000000" w:themeColor="text1"/>
          <w:sz w:val="24"/>
          <w:szCs w:val="24"/>
        </w:rPr>
        <w:t>ere very few north-south RTAs</w:t>
      </w:r>
      <w:r w:rsidR="00F60E11">
        <w:rPr>
          <w:rStyle w:val="Appelnotedebasdep"/>
          <w:rFonts w:ascii="Times New Roman" w:eastAsia="Times New Roman" w:hAnsi="Times New Roman" w:cs="Times New Roman"/>
          <w:color w:val="000000" w:themeColor="text1"/>
          <w:sz w:val="24"/>
          <w:szCs w:val="24"/>
        </w:rPr>
        <w:footnoteReference w:id="32"/>
      </w:r>
      <w:r w:rsidRPr="65AF6301">
        <w:rPr>
          <w:rFonts w:ascii="Times New Roman" w:eastAsia="Times New Roman" w:hAnsi="Times New Roman" w:cs="Times New Roman"/>
          <w:color w:val="000000" w:themeColor="text1"/>
          <w:sz w:val="24"/>
          <w:szCs w:val="24"/>
        </w:rPr>
        <w:t>. This has surely contributed to omitting consideration of mixed agreements and related development issues. Although today, special and differential treatment is a concept that is at the heart of the legal architecture of the WTO, there are no de jure preferences provided for by Article XXIV for the be</w:t>
      </w:r>
      <w:r w:rsidR="00F60E11">
        <w:rPr>
          <w:rFonts w:ascii="Times New Roman" w:eastAsia="Times New Roman" w:hAnsi="Times New Roman" w:cs="Times New Roman"/>
          <w:color w:val="000000" w:themeColor="text1"/>
          <w:sz w:val="24"/>
          <w:szCs w:val="24"/>
        </w:rPr>
        <w:t>nefit of developing countries</w:t>
      </w:r>
      <w:r w:rsidR="00F60E11">
        <w:rPr>
          <w:rStyle w:val="Appelnotedebasdep"/>
          <w:rFonts w:ascii="Times New Roman" w:eastAsia="Times New Roman" w:hAnsi="Times New Roman" w:cs="Times New Roman"/>
          <w:color w:val="000000" w:themeColor="text1"/>
          <w:sz w:val="24"/>
          <w:szCs w:val="24"/>
        </w:rPr>
        <w:footnoteReference w:id="33"/>
      </w:r>
      <w:r w:rsidRPr="65AF6301">
        <w:rPr>
          <w:rFonts w:ascii="Times New Roman" w:eastAsia="Times New Roman" w:hAnsi="Times New Roman" w:cs="Times New Roman"/>
          <w:color w:val="000000" w:themeColor="text1"/>
          <w:sz w:val="24"/>
          <w:szCs w:val="24"/>
        </w:rPr>
        <w:t xml:space="preserve"> . It could be said that this article emanated from “de facto flexibilities which result from the ambiguity of the terminology and the tolerant practices which have emerged throughout the evol</w:t>
      </w:r>
      <w:r w:rsidR="00F60E11">
        <w:rPr>
          <w:rFonts w:ascii="Times New Roman" w:eastAsia="Times New Roman" w:hAnsi="Times New Roman" w:cs="Times New Roman"/>
          <w:color w:val="000000" w:themeColor="text1"/>
          <w:sz w:val="24"/>
          <w:szCs w:val="24"/>
        </w:rPr>
        <w:t>ution of the GATT and the WTO</w:t>
      </w:r>
      <w:r w:rsidR="00F60E11">
        <w:rPr>
          <w:rStyle w:val="Appelnotedebasdep"/>
          <w:rFonts w:ascii="Times New Roman" w:eastAsia="Times New Roman" w:hAnsi="Times New Roman" w:cs="Times New Roman"/>
          <w:color w:val="000000" w:themeColor="text1"/>
          <w:sz w:val="24"/>
          <w:szCs w:val="24"/>
        </w:rPr>
        <w:footnoteReference w:id="34"/>
      </w:r>
      <w:r w:rsidRPr="65AF6301">
        <w:rPr>
          <w:rFonts w:ascii="Times New Roman" w:eastAsia="Times New Roman" w:hAnsi="Times New Roman" w:cs="Times New Roman"/>
          <w:color w:val="000000" w:themeColor="text1"/>
          <w:sz w:val="24"/>
          <w:szCs w:val="24"/>
        </w:rPr>
        <w:t>”. These implicit flexibilities which result from a broad interpretation and a lack of strict monitoring should not satisfy the ACP countries and encourage them to presume the validity of the unilateral preferences that they could negotiate in the EPAs. Not only is there no guarantee of protection against a complaint for violation of the MFN clause, but experience has already shown that the complaints of other developing countries, based on non-discrimination, are supported by jurisprudence. It is still necessary to remember that in the banana affair, Article XXIV could not constitute a bulwark against the European preferential regime in favor of the ACP countries. Fu</w:t>
      </w:r>
      <w:r w:rsidR="00C66669">
        <w:rPr>
          <w:rFonts w:ascii="Times New Roman" w:eastAsia="Times New Roman" w:hAnsi="Times New Roman" w:cs="Times New Roman"/>
          <w:color w:val="000000" w:themeColor="text1"/>
          <w:sz w:val="24"/>
          <w:szCs w:val="24"/>
        </w:rPr>
        <w:t>rthermore, in Turkey-Textiles</w:t>
      </w:r>
      <w:r w:rsidR="00C66669">
        <w:rPr>
          <w:rStyle w:val="Appelnotedebasdep"/>
          <w:rFonts w:ascii="Times New Roman" w:eastAsia="Times New Roman" w:hAnsi="Times New Roman" w:cs="Times New Roman"/>
          <w:color w:val="000000" w:themeColor="text1"/>
          <w:sz w:val="24"/>
          <w:szCs w:val="24"/>
        </w:rPr>
        <w:footnoteReference w:id="35"/>
      </w:r>
      <w:r w:rsidRPr="65AF6301">
        <w:rPr>
          <w:rFonts w:ascii="Times New Roman" w:eastAsia="Times New Roman" w:hAnsi="Times New Roman" w:cs="Times New Roman"/>
          <w:color w:val="000000" w:themeColor="text1"/>
          <w:sz w:val="24"/>
          <w:szCs w:val="24"/>
        </w:rPr>
        <w:t xml:space="preserve">, the WTO Appellate Body made a decision that significantly restricts the legal applicability and scope of the de </w:t>
      </w:r>
      <w:r w:rsidRPr="65AF6301">
        <w:rPr>
          <w:rFonts w:ascii="Times New Roman" w:eastAsia="Times New Roman" w:hAnsi="Times New Roman" w:cs="Times New Roman"/>
          <w:color w:val="000000" w:themeColor="text1"/>
          <w:sz w:val="24"/>
          <w:szCs w:val="24"/>
        </w:rPr>
        <w:lastRenderedPageBreak/>
        <w:t xml:space="preserve">facto flexibility </w:t>
      </w:r>
      <w:r w:rsidR="00C66669">
        <w:rPr>
          <w:rFonts w:ascii="Times New Roman" w:eastAsia="Times New Roman" w:hAnsi="Times New Roman" w:cs="Times New Roman"/>
          <w:color w:val="000000" w:themeColor="text1"/>
          <w:sz w:val="24"/>
          <w:szCs w:val="24"/>
        </w:rPr>
        <w:t>of Article XXIV. In this case</w:t>
      </w:r>
      <w:r w:rsidR="00C66669">
        <w:rPr>
          <w:rStyle w:val="Appelnotedebasdep"/>
          <w:rFonts w:ascii="Times New Roman" w:eastAsia="Times New Roman" w:hAnsi="Times New Roman" w:cs="Times New Roman"/>
          <w:color w:val="000000" w:themeColor="text1"/>
          <w:sz w:val="24"/>
          <w:szCs w:val="24"/>
        </w:rPr>
        <w:footnoteReference w:id="36"/>
      </w:r>
      <w:r w:rsidRPr="65AF6301">
        <w:rPr>
          <w:rFonts w:ascii="Times New Roman" w:eastAsia="Times New Roman" w:hAnsi="Times New Roman" w:cs="Times New Roman"/>
          <w:color w:val="000000" w:themeColor="text1"/>
          <w:sz w:val="24"/>
          <w:szCs w:val="24"/>
        </w:rPr>
        <w:t>, the Appellate Body provides an interpretation of the notion of “substantially all trade”, considering that paragraph 8(a)(i) of Article XXIV offers “some flexibility” to the constituent members of a customs union in the liberalization of their internal trade. But it takes care to recall that the degree of “flexibility” provided by paragraph 8 (a) (i) is limited by the requirement that “customs duties and other restrictive regulations of commerce” must be “substantially eliminated » of internal trade. The reading that the ACP countries make of this interpretation is far from being erroneous. The established limit remains a legal limit which has the effect of thwarting any desire to confer excess flexibilities and/or weightings in the liberalization processes within the RTAs. In this regard, it appears to prescribe a standard common law regime consistent with the spirit of the MFN clause. This provision clearly indicates that the principle remains a fairly high level of liberalization which does not particularly take into account the specific needs of developing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By reforming Article XXIV, we would have resulted in a “codification” of the broad doctrinal interpretation and a correction of the restrictive interpretation tendencies of WTO </w:t>
      </w:r>
      <w:proofErr w:type="gramStart"/>
      <w:r w:rsidRPr="65AF6301">
        <w:rPr>
          <w:rFonts w:ascii="Times New Roman" w:eastAsia="Times New Roman" w:hAnsi="Times New Roman" w:cs="Times New Roman"/>
          <w:color w:val="000000" w:themeColor="text1"/>
          <w:sz w:val="24"/>
          <w:szCs w:val="24"/>
        </w:rPr>
        <w:t>jurisprudence;</w:t>
      </w:r>
      <w:proofErr w:type="gramEnd"/>
      <w:r w:rsidRPr="65AF6301">
        <w:rPr>
          <w:rFonts w:ascii="Times New Roman" w:eastAsia="Times New Roman" w:hAnsi="Times New Roman" w:cs="Times New Roman"/>
          <w:color w:val="000000" w:themeColor="text1"/>
          <w:sz w:val="24"/>
          <w:szCs w:val="24"/>
        </w:rPr>
        <w:t xml:space="preserve"> which would guarantee better legal predictability and an exceptional regime for developing countries engaged in mixed RTAs.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Regarding the second solution, the enabling clause is a provision of SDT which extends to regional trading arrangements. Point c of its paragraph 2 provides for preferential treatment which applies to “regional or global arrangements concluded between less developed contracting parties for the reduction or elimination of customs duties on a mutual basis”. Regional weighting therefore exists but is restricted to trade between developing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Since the clause is a general exception to the MFN rule in favor of developing countries, we can consider extending its advantages to mixed RTAs to legalize preferential measures that could be included there. At the same time, we would avoid subjecting mixed RTAs to the current provisions of Article XXIV which does not confer the same advantages. This would ensure the legal basis for any preferential treatment included in the EPAs in favor of ACP countries, re-establish non-reciprocity and confirm the idea that regionalism remains an effective means for the progressive integration of developing countries. </w:t>
      </w:r>
      <w:proofErr w:type="gramStart"/>
      <w:r w:rsidRPr="65AF6301">
        <w:rPr>
          <w:rFonts w:ascii="Times New Roman" w:eastAsia="Times New Roman" w:hAnsi="Times New Roman" w:cs="Times New Roman"/>
          <w:color w:val="000000" w:themeColor="text1"/>
          <w:sz w:val="24"/>
          <w:szCs w:val="24"/>
        </w:rPr>
        <w:t>in</w:t>
      </w:r>
      <w:proofErr w:type="gramEnd"/>
      <w:r w:rsidRPr="65AF6301">
        <w:rPr>
          <w:rFonts w:ascii="Times New Roman" w:eastAsia="Times New Roman" w:hAnsi="Times New Roman" w:cs="Times New Roman"/>
          <w:color w:val="000000" w:themeColor="text1"/>
          <w:sz w:val="24"/>
          <w:szCs w:val="24"/>
        </w:rPr>
        <w:t xml:space="preserve"> the global economy.</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In addition to these preferential virtues, this reform would have the usefulness of clarifying the scope of application of regional trade arrangements, by placing them under the regime of the enabling clause and thereby excluding them from the scope of Article XXIV which establishes all challenges to the EU's preferential treatment towards ACP countries.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Ultimately, it could be said that the WTO legal provisions on RTAs were designed at a time when commercial realities did not take into account mixed free trade zones bringing together devel</w:t>
      </w:r>
      <w:r w:rsidR="00902D36">
        <w:rPr>
          <w:rFonts w:ascii="Times New Roman" w:eastAsia="Times New Roman" w:hAnsi="Times New Roman" w:cs="Times New Roman"/>
          <w:color w:val="000000" w:themeColor="text1"/>
          <w:sz w:val="24"/>
          <w:szCs w:val="24"/>
        </w:rPr>
        <w:t>oped and developing countries</w:t>
      </w:r>
      <w:r w:rsidR="00902D36">
        <w:rPr>
          <w:rStyle w:val="Appelnotedebasdep"/>
          <w:rFonts w:ascii="Times New Roman" w:eastAsia="Times New Roman" w:hAnsi="Times New Roman" w:cs="Times New Roman"/>
          <w:color w:val="000000" w:themeColor="text1"/>
          <w:sz w:val="24"/>
          <w:szCs w:val="24"/>
        </w:rPr>
        <w:footnoteReference w:id="37"/>
      </w:r>
      <w:r w:rsidRPr="65AF6301">
        <w:rPr>
          <w:rFonts w:ascii="Times New Roman" w:eastAsia="Times New Roman" w:hAnsi="Times New Roman" w:cs="Times New Roman"/>
          <w:color w:val="000000" w:themeColor="text1"/>
          <w:sz w:val="24"/>
          <w:szCs w:val="24"/>
        </w:rPr>
        <w:t xml:space="preserve"> . Therefore, the denial of a preferential regime in mixed RTAs is not part of a systemic approach based on the cardinal principles of the WTO. Today more than ever, ACP countries need flexibilities and adjustments to better integrate into the multilateral trading system. They have had to face a strong erosion of preferences resulting from the continuous reduction of customs duties, to the point that if the new EPA regime does not include discriminatory market access measures, they risk remaining on the margins of the system commercial. What is set in the background is the problem of differentiation between developing countries and that of coherence between bilateral and multilateral agreements. Not only should innovative criteria be defined to prioritize the level of granting of preferences between developing countries whose economic capacities are incommensurable, but regulatory efforts should be made to avoid making regionalism commercial, supposed to be an exceptional regime and therefore more flexible, less attractive than the heart of the system.</w:t>
      </w:r>
    </w:p>
    <w:p w:rsidR="00582B64" w:rsidRDefault="65AF6301" w:rsidP="65AF6301">
      <w:pPr>
        <w:pStyle w:val="Titre1"/>
        <w:keepNext w:val="0"/>
        <w:keepLines w:val="0"/>
        <w:tabs>
          <w:tab w:val="num" w:pos="720"/>
        </w:tabs>
        <w:spacing w:before="120" w:after="120" w:line="360" w:lineRule="auto"/>
        <w:ind w:left="720" w:hanging="720"/>
        <w:jc w:val="both"/>
        <w:rPr>
          <w:rFonts w:ascii="Times New Roman" w:eastAsia="Times New Roman" w:hAnsi="Times New Roman" w:cs="Times New Roman"/>
          <w:b/>
          <w:bCs/>
          <w:color w:val="000000" w:themeColor="text1"/>
          <w:sz w:val="24"/>
          <w:szCs w:val="24"/>
        </w:rPr>
      </w:pPr>
      <w:r w:rsidRPr="65AF6301">
        <w:rPr>
          <w:rFonts w:ascii="Times New Roman" w:eastAsia="Times New Roman" w:hAnsi="Times New Roman" w:cs="Times New Roman"/>
          <w:b/>
          <w:bCs/>
          <w:color w:val="000000" w:themeColor="text1"/>
          <w:sz w:val="24"/>
          <w:szCs w:val="24"/>
        </w:rPr>
        <w:t xml:space="preserve">Section </w:t>
      </w:r>
      <w:proofErr w:type="gramStart"/>
      <w:r w:rsidRPr="65AF6301">
        <w:rPr>
          <w:rFonts w:ascii="Times New Roman" w:eastAsia="Times New Roman" w:hAnsi="Times New Roman" w:cs="Times New Roman"/>
          <w:b/>
          <w:bCs/>
          <w:color w:val="000000" w:themeColor="text1"/>
          <w:sz w:val="24"/>
          <w:szCs w:val="24"/>
        </w:rPr>
        <w:t>II:</w:t>
      </w:r>
      <w:proofErr w:type="gramEnd"/>
      <w:r w:rsidRPr="65AF6301">
        <w:rPr>
          <w:rFonts w:ascii="Times New Roman" w:eastAsia="Times New Roman" w:hAnsi="Times New Roman" w:cs="Times New Roman"/>
          <w:b/>
          <w:bCs/>
          <w:color w:val="000000" w:themeColor="text1"/>
          <w:sz w:val="24"/>
          <w:szCs w:val="24"/>
        </w:rPr>
        <w:t xml:space="preserve"> A questioning of the preferential triptych:</w:t>
      </w:r>
    </w:p>
    <w:p w:rsidR="00582B64" w:rsidRDefault="65AF6301" w:rsidP="65AF6301">
      <w:pPr>
        <w:pStyle w:val="Titre1"/>
        <w:keepNext w:val="0"/>
        <w:keepLines w:val="0"/>
        <w:tabs>
          <w:tab w:val="num" w:pos="720"/>
        </w:tabs>
        <w:spacing w:before="120" w:after="120" w:line="360" w:lineRule="auto"/>
        <w:ind w:left="720" w:hanging="720"/>
        <w:jc w:val="both"/>
        <w:rPr>
          <w:rFonts w:ascii="Times New Roman" w:eastAsia="Times New Roman" w:hAnsi="Times New Roman" w:cs="Times New Roman"/>
          <w:b/>
          <w:bCs/>
          <w:color w:val="000000" w:themeColor="text1"/>
          <w:sz w:val="24"/>
          <w:szCs w:val="24"/>
        </w:rPr>
      </w:pPr>
      <w:r w:rsidRPr="65AF6301">
        <w:rPr>
          <w:rFonts w:ascii="Times New Roman" w:eastAsia="Times New Roman" w:hAnsi="Times New Roman" w:cs="Times New Roman"/>
          <w:b/>
          <w:bCs/>
          <w:color w:val="000000" w:themeColor="text1"/>
          <w:sz w:val="24"/>
          <w:szCs w:val="24"/>
        </w:rPr>
        <w:t>Preference, non-reciprocity and discrimination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The preferential approach in international trade is broken down into a triptych whose elements influence each other. It is not possible to have a trade regime that is at the same time </w:t>
      </w:r>
      <w:r w:rsidRPr="65AF6301">
        <w:rPr>
          <w:rFonts w:ascii="Times New Roman" w:eastAsia="Times New Roman" w:hAnsi="Times New Roman" w:cs="Times New Roman"/>
          <w:color w:val="000000" w:themeColor="text1"/>
          <w:sz w:val="24"/>
          <w:szCs w:val="24"/>
        </w:rPr>
        <w:lastRenderedPageBreak/>
        <w:t>preferential, discriminatory and non-reciprocal. This emerges from the different frameworks governing the modalities for granting trad</w:t>
      </w:r>
      <w:r w:rsidR="001924AC">
        <w:rPr>
          <w:rFonts w:ascii="Times New Roman" w:eastAsia="Times New Roman" w:hAnsi="Times New Roman" w:cs="Times New Roman"/>
          <w:color w:val="000000" w:themeColor="text1"/>
          <w:sz w:val="24"/>
          <w:szCs w:val="24"/>
        </w:rPr>
        <w:t>e preferences in global trade</w:t>
      </w:r>
      <w:r w:rsidR="001924AC">
        <w:rPr>
          <w:rStyle w:val="Appelnotedebasdep"/>
          <w:rFonts w:ascii="Times New Roman" w:eastAsia="Times New Roman" w:hAnsi="Times New Roman" w:cs="Times New Roman"/>
          <w:color w:val="000000" w:themeColor="text1"/>
          <w:sz w:val="24"/>
          <w:szCs w:val="24"/>
        </w:rPr>
        <w:footnoteReference w:id="38"/>
      </w:r>
      <w:r w:rsidRPr="65AF6301">
        <w:rPr>
          <w:rFonts w:ascii="Times New Roman" w:eastAsia="Times New Roman" w:hAnsi="Times New Roman" w:cs="Times New Roman"/>
          <w:color w:val="000000" w:themeColor="text1"/>
          <w:sz w:val="24"/>
          <w:szCs w:val="24"/>
        </w:rPr>
        <w:t>.</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Part IV of the GATT, negotiated in 1964, codifies the notion of non-reciprocity in trade relations between developed and developing countries. It is a conciliation between the need for development (TSD) and the principles of the Organization aimed at adjusting development inequalities. By allowing developed countries to grant advantages without expressly receiving them in return, it enjoins them to confer them only on developing countries, only developing countries but all developing countries. This results in </w:t>
      </w:r>
      <w:proofErr w:type="gramStart"/>
      <w:r w:rsidRPr="65AF6301">
        <w:rPr>
          <w:rFonts w:ascii="Times New Roman" w:eastAsia="Times New Roman" w:hAnsi="Times New Roman" w:cs="Times New Roman"/>
          <w:color w:val="000000" w:themeColor="text1"/>
          <w:sz w:val="24"/>
          <w:szCs w:val="24"/>
        </w:rPr>
        <w:t>a</w:t>
      </w:r>
      <w:proofErr w:type="gramEnd"/>
      <w:r w:rsidRPr="65AF6301">
        <w:rPr>
          <w:rFonts w:ascii="Times New Roman" w:eastAsia="Times New Roman" w:hAnsi="Times New Roman" w:cs="Times New Roman"/>
          <w:color w:val="000000" w:themeColor="text1"/>
          <w:sz w:val="24"/>
          <w:szCs w:val="24"/>
        </w:rPr>
        <w:t xml:space="preserve"> prohibition of discrimination against potentially beneficiary countries because they are in the same development category.</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It is also the same legal logic which emerges from the SGP of 1971 and the enabling clause of 1979. Apart from the fact that the latter is of a lasting nature while the former was a simple exemption, these two regimes confirm the possibility offered to contracting parties to grant differential and more favorable treatment to developing countries, without granting it to other contracting parties. This preferential regime is of a mixed type, in that it regulates unequal economic relations between developing and developed countries. Which postulates the non-reciprocity of concessions. This unilateral “generosity” can only be recognized by the system to the extent that it guarantees equal treatment between potential beneficiaries.</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 xml:space="preserve">In addition, Article XXIV of the GATT which governs RTAs specifies the conditions for granting commercial advantages by highlighting two </w:t>
      </w:r>
      <w:proofErr w:type="gramStart"/>
      <w:r w:rsidRPr="65AF6301">
        <w:rPr>
          <w:rFonts w:ascii="Times New Roman" w:eastAsia="Times New Roman" w:hAnsi="Times New Roman" w:cs="Times New Roman"/>
          <w:color w:val="000000" w:themeColor="text1"/>
          <w:sz w:val="24"/>
          <w:szCs w:val="24"/>
        </w:rPr>
        <w:t>points:</w:t>
      </w:r>
      <w:proofErr w:type="gramEnd"/>
      <w:r w:rsidRPr="65AF6301">
        <w:rPr>
          <w:rFonts w:ascii="Times New Roman" w:eastAsia="Times New Roman" w:hAnsi="Times New Roman" w:cs="Times New Roman"/>
          <w:color w:val="000000" w:themeColor="text1"/>
          <w:sz w:val="24"/>
          <w:szCs w:val="24"/>
        </w:rPr>
        <w:t xml:space="preserve"> the symmetry of concessions and discrimination against members outside the Customs Union or to the Free Trade Zone. In this respect, preferences are therefore no longer granted in a unilateral but reciprocal form. Acceptance of discrimination against members outside the zone is thus justified by the “private” nature of the transaction.</w:t>
      </w:r>
    </w:p>
    <w:p w:rsidR="00582B64"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t>Ultimately and without expressly mentioning it, all the provisions of the GATT/WTO organize the preferential triptych. There is, on the one hand, a constant which is the preferential measure itself and, on the other hand, two variables which are discrimination and reciprocity. If preference is coupled with discrimination, reciprocity must be required between the beneficiary members. In all cases, the discriminatory preference must be reciprocal. Otherwise, it is illegal.</w:t>
      </w:r>
    </w:p>
    <w:p w:rsidR="00076E5E" w:rsidRDefault="65AF6301" w:rsidP="65AF6301">
      <w:pPr>
        <w:spacing w:before="120" w:after="120" w:line="360" w:lineRule="auto"/>
        <w:jc w:val="both"/>
        <w:rPr>
          <w:rFonts w:ascii="Times New Roman" w:eastAsia="Times New Roman" w:hAnsi="Times New Roman" w:cs="Times New Roman"/>
          <w:color w:val="000000" w:themeColor="text1"/>
          <w:sz w:val="24"/>
          <w:szCs w:val="24"/>
        </w:rPr>
      </w:pPr>
      <w:r w:rsidRPr="65AF6301">
        <w:rPr>
          <w:rFonts w:ascii="Times New Roman" w:eastAsia="Times New Roman" w:hAnsi="Times New Roman" w:cs="Times New Roman"/>
          <w:color w:val="000000" w:themeColor="text1"/>
          <w:sz w:val="24"/>
          <w:szCs w:val="24"/>
        </w:rPr>
        <w:lastRenderedPageBreak/>
        <w:t>Beyond the question of differentiation between various developing countries that it raises, this legal situation has an immediate consequence in the application of global reciprocity in EU/ACP relations. It highlights differences in the level of development within ACP countries. The future EPA framework, as it appears today, leaves no room for a weighting system that would adjust the economic inequality between EU and ACP countries. However, the “All But Arms” Initiative offers a preferential framework for LDCs. It maintains asymmetry in their trade relations to the detriment of developing ACP countries which cannot benefit from this flexibility. The central point is to know what is the usefulness of the ACP LDCs in concluding EPAs which would not allow them, if not to extend their trade preferences, at least to maintain them. To guarantee and preserve the interests of LDCs, the European Commission seems to be leaning towards the inclusion, in the EPAs, of provisions going well beyond st</w:t>
      </w:r>
      <w:r w:rsidR="00D12B48">
        <w:rPr>
          <w:rFonts w:ascii="Times New Roman" w:eastAsia="Times New Roman" w:hAnsi="Times New Roman" w:cs="Times New Roman"/>
          <w:color w:val="000000" w:themeColor="text1"/>
          <w:sz w:val="24"/>
          <w:szCs w:val="24"/>
        </w:rPr>
        <w:t>andard market access measures</w:t>
      </w:r>
      <w:r w:rsidR="00D12B48">
        <w:rPr>
          <w:rStyle w:val="Appelnotedebasdep"/>
          <w:rFonts w:ascii="Times New Roman" w:eastAsia="Times New Roman" w:hAnsi="Times New Roman" w:cs="Times New Roman"/>
          <w:color w:val="000000" w:themeColor="text1"/>
          <w:sz w:val="24"/>
          <w:szCs w:val="24"/>
        </w:rPr>
        <w:footnoteReference w:id="39"/>
      </w:r>
      <w:r w:rsidRPr="65AF6301">
        <w:rPr>
          <w:rFonts w:ascii="Times New Roman" w:eastAsia="Times New Roman" w:hAnsi="Times New Roman" w:cs="Times New Roman"/>
          <w:color w:val="000000" w:themeColor="text1"/>
          <w:sz w:val="24"/>
          <w:szCs w:val="24"/>
        </w:rPr>
        <w:t>.</w:t>
      </w: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4E196F"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fr-FR"/>
        </w:rPr>
      </w:pPr>
    </w:p>
    <w:p w:rsidR="00D12B48" w:rsidRDefault="00D12B48"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42"/>
          <w:lang w:val="en" w:eastAsia="fr-FR"/>
        </w:rPr>
      </w:pPr>
    </w:p>
    <w:p w:rsidR="004E196F" w:rsidRPr="00D12B48"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val="en" w:eastAsia="fr-FR"/>
        </w:rPr>
      </w:pPr>
      <w:r w:rsidRPr="00D12B48">
        <w:rPr>
          <w:rFonts w:ascii="Times New Roman" w:eastAsia="Times New Roman" w:hAnsi="Times New Roman" w:cs="Times New Roman"/>
          <w:b/>
          <w:color w:val="202124"/>
          <w:sz w:val="24"/>
          <w:szCs w:val="24"/>
          <w:lang w:val="en" w:eastAsia="fr-FR"/>
        </w:rPr>
        <w:lastRenderedPageBreak/>
        <w:t>Bibliographic references</w:t>
      </w:r>
    </w:p>
    <w:p w:rsidR="004E196F" w:rsidRPr="00D12B48"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eastAsia="fr-FR"/>
        </w:rPr>
      </w:pPr>
      <w:r w:rsidRPr="00D12B48">
        <w:rPr>
          <w:rFonts w:ascii="Times New Roman" w:eastAsia="Times New Roman" w:hAnsi="Times New Roman" w:cs="Times New Roman"/>
          <w:b/>
          <w:color w:val="202124"/>
          <w:sz w:val="24"/>
          <w:szCs w:val="24"/>
          <w:lang w:val="en" w:eastAsia="fr-FR"/>
        </w:rPr>
        <w:t>GENERAL WORKS</w:t>
      </w:r>
    </w:p>
    <w:p w:rsidR="004E196F" w:rsidRPr="00D12B48" w:rsidRDefault="004E196F" w:rsidP="004E196F">
      <w:pPr>
        <w:rPr>
          <w:rFonts w:ascii="Times New Roman" w:hAnsi="Times New Roman" w:cs="Times New Roman"/>
          <w:sz w:val="24"/>
          <w:szCs w:val="24"/>
        </w:rPr>
      </w:pPr>
    </w:p>
    <w:p w:rsidR="00D12B48" w:rsidRPr="00D12B48" w:rsidRDefault="00D12B48" w:rsidP="00D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fr-FR"/>
        </w:rPr>
      </w:pPr>
      <w:r w:rsidRPr="00D12B48">
        <w:rPr>
          <w:rFonts w:ascii="Times New Roman" w:eastAsia="Times New Roman" w:hAnsi="Times New Roman" w:cs="Times New Roman"/>
          <w:color w:val="202124"/>
          <w:sz w:val="24"/>
          <w:szCs w:val="24"/>
          <w:lang w:val="en" w:eastAsia="fr-FR"/>
        </w:rPr>
        <w:t>- Dominique Carreau, Patrick Juillard, International economic law, 6th edition, Dalloz, 2017, 942 pages.</w:t>
      </w:r>
    </w:p>
    <w:p w:rsidR="004E196F" w:rsidRPr="00D12B48" w:rsidRDefault="004E196F" w:rsidP="004E196F">
      <w:pPr>
        <w:rPr>
          <w:rFonts w:ascii="Times New Roman" w:hAnsi="Times New Roman" w:cs="Times New Roman"/>
          <w:sz w:val="24"/>
          <w:szCs w:val="24"/>
        </w:rPr>
      </w:pPr>
      <w:r w:rsidRPr="00D12B48">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901C2D1" wp14:editId="339BA145">
                <wp:simplePos x="0" y="0"/>
                <wp:positionH relativeFrom="leftMargin">
                  <wp:align>left</wp:align>
                </wp:positionH>
                <wp:positionV relativeFrom="page">
                  <wp:posOffset>0</wp:posOffset>
                </wp:positionV>
                <wp:extent cx="7765200" cy="219600"/>
                <wp:effectExtent l="0" t="0" r="0" b="9525"/>
                <wp:wrapNone/>
                <wp:docPr id="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4E196F" w:rsidRDefault="004E196F" w:rsidP="004E196F">
                            <w:pPr>
                              <w:spacing w:line="240" w:lineRule="auto"/>
                              <w:contextualSpacing/>
                            </w:pPr>
                            <w:r>
                              <w:rPr>
                                <w:noProof/>
                                <w:position w:val="-6"/>
                                <w:lang w:eastAsia="fr-FR"/>
                              </w:rPr>
                              <w:drawing>
                                <wp:inline distT="0" distB="0" distL="0" distR="0" wp14:anchorId="7D4C590D" wp14:editId="75013617">
                                  <wp:extent cx="316230" cy="179705"/>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1"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901C2D1" id="_x0000_s1027" type="#_x0000_t202" style="position:absolute;margin-left:0;margin-top:0;width:611.45pt;height:17.3pt;z-index:25166131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" fillcolor="#f2f2f2" stroked="f">
                <v:textbox inset=",0,,0">
                  <w:txbxContent>
                    <w:p w:rsidR="004E196F" w:rsidRDefault="004E196F" w:rsidP="004E196F">
                      <w:pPr>
                        <w:spacing w:line="240" w:lineRule="auto"/>
                        <w:contextualSpacing/>
                      </w:pPr>
                      <w:r>
                        <w:rPr>
                          <w:noProof/>
                          <w:position w:val="-6"/>
                          <w:lang w:eastAsia="fr-FR"/>
                        </w:rPr>
                        <w:drawing>
                          <wp:inline distT="0" distB="0" distL="0" distR="0" wp14:anchorId="7D4C590D" wp14:editId="75013617">
                            <wp:extent cx="316230" cy="179705"/>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2"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v:textbox>
                <w10:wrap anchorx="margin" anchory="page"/>
              </v:shape>
            </w:pict>
          </mc:Fallback>
        </mc:AlternateContent>
      </w:r>
    </w:p>
    <w:p w:rsidR="004E196F" w:rsidRPr="00D12B48" w:rsidRDefault="004E196F" w:rsidP="004E19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4"/>
          <w:szCs w:val="24"/>
          <w:lang w:eastAsia="fr-FR"/>
        </w:rPr>
      </w:pPr>
      <w:r w:rsidRPr="00D12B48">
        <w:rPr>
          <w:rFonts w:ascii="Times New Roman" w:eastAsia="Times New Roman" w:hAnsi="Times New Roman" w:cs="Times New Roman"/>
          <w:b/>
          <w:color w:val="202124"/>
          <w:sz w:val="24"/>
          <w:szCs w:val="24"/>
          <w:lang w:val="en" w:eastAsia="fr-FR"/>
        </w:rPr>
        <w:t>ITEMS</w:t>
      </w:r>
    </w:p>
    <w:p w:rsidR="00D12B48" w:rsidRPr="00D12B48" w:rsidRDefault="00D12B48" w:rsidP="00D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fr-FR"/>
        </w:rPr>
      </w:pPr>
      <w:r w:rsidRPr="00D12B48">
        <w:rPr>
          <w:rFonts w:ascii="Times New Roman" w:eastAsia="Times New Roman" w:hAnsi="Times New Roman" w:cs="Times New Roman"/>
          <w:color w:val="202124"/>
          <w:sz w:val="24"/>
          <w:szCs w:val="24"/>
          <w:lang w:val="en" w:eastAsia="fr-FR"/>
        </w:rPr>
        <w:t>- Dr El Hadji A. DIOUF: “Regional Trade Agreements and the WTO: What status and what preferences for the Economic Partnership Agreements between the European Union and the ACP countries? », 15 pages.</w:t>
      </w:r>
    </w:p>
    <w:p w:rsidR="00D12B48" w:rsidRPr="00D12B48" w:rsidRDefault="00D12B48" w:rsidP="00D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val="en" w:eastAsia="fr-FR"/>
        </w:rPr>
      </w:pPr>
      <w:r w:rsidRPr="00D12B48">
        <w:rPr>
          <w:rFonts w:ascii="Times New Roman" w:eastAsia="Times New Roman" w:hAnsi="Times New Roman" w:cs="Times New Roman"/>
          <w:color w:val="202124"/>
          <w:sz w:val="24"/>
          <w:szCs w:val="24"/>
          <w:lang w:val="en" w:eastAsia="fr-FR"/>
        </w:rPr>
        <w:t>- Kerry CHASE, “Multilateralism in Compromise: The Mysterious Origins of GATT Article XXIV”, World Trade Review, 2006.</w:t>
      </w:r>
    </w:p>
    <w:p w:rsidR="00D12B48" w:rsidRPr="00D12B48" w:rsidRDefault="00D12B48" w:rsidP="00D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fr-FR"/>
        </w:rPr>
      </w:pPr>
      <w:r w:rsidRPr="00D12B48">
        <w:rPr>
          <w:rFonts w:ascii="Times New Roman" w:eastAsia="Times New Roman" w:hAnsi="Times New Roman" w:cs="Times New Roman"/>
          <w:color w:val="202124"/>
          <w:sz w:val="24"/>
          <w:szCs w:val="24"/>
          <w:lang w:val="en" w:eastAsia="fr-FR"/>
        </w:rPr>
        <w:t>- Bilal Sanoussi, “Who will negotiate with the European Union? Search for an ACP/EU negotiation framework, Insights on trade negotiations: from Doha to Cotonou”, Vol. I, No. 2, June 2002, 8 pages.</w:t>
      </w:r>
    </w:p>
    <w:p w:rsidR="004E196F" w:rsidRPr="00D12B48" w:rsidRDefault="004E196F" w:rsidP="004E196F">
      <w:pPr>
        <w:suppressAutoHyphens/>
        <w:spacing w:before="120" w:after="120" w:line="360" w:lineRule="auto"/>
        <w:ind w:left="720"/>
        <w:jc w:val="both"/>
        <w:rPr>
          <w:rFonts w:ascii="Times New Roman" w:hAnsi="Times New Roman" w:cs="Times New Roman"/>
          <w:color w:val="000000"/>
          <w:sz w:val="24"/>
          <w:szCs w:val="24"/>
        </w:rPr>
      </w:pPr>
    </w:p>
    <w:p w:rsidR="004E196F" w:rsidRPr="00D12B48" w:rsidRDefault="004E196F" w:rsidP="004E196F">
      <w:pPr>
        <w:pStyle w:val="PrformatHTML"/>
        <w:shd w:val="clear" w:color="auto" w:fill="F8F9FA"/>
        <w:spacing w:line="540" w:lineRule="atLeast"/>
        <w:rPr>
          <w:rFonts w:ascii="Times New Roman" w:eastAsia="Times New Roman" w:hAnsi="Times New Roman" w:cs="Times New Roman"/>
          <w:b/>
          <w:color w:val="202124"/>
          <w:sz w:val="24"/>
          <w:szCs w:val="24"/>
          <w:lang w:eastAsia="fr-FR"/>
        </w:rPr>
      </w:pPr>
      <w:r w:rsidRPr="00D12B48">
        <w:rPr>
          <w:rFonts w:ascii="Times New Roman" w:eastAsia="Times New Roman" w:hAnsi="Times New Roman" w:cs="Times New Roman"/>
          <w:b/>
          <w:color w:val="202124"/>
          <w:sz w:val="24"/>
          <w:szCs w:val="24"/>
          <w:lang w:val="en" w:eastAsia="fr-FR"/>
        </w:rPr>
        <w:t>DISSERTATIONS AND THESES</w:t>
      </w:r>
    </w:p>
    <w:p w:rsidR="00582B64" w:rsidRPr="00D12B48" w:rsidRDefault="00582B64" w:rsidP="65AF6301">
      <w:pPr>
        <w:spacing w:line="360" w:lineRule="auto"/>
        <w:rPr>
          <w:rFonts w:ascii="Times New Roman" w:eastAsia="Times New Roman" w:hAnsi="Times New Roman" w:cs="Times New Roman"/>
          <w:color w:val="000000" w:themeColor="text1"/>
          <w:sz w:val="24"/>
          <w:szCs w:val="24"/>
        </w:rPr>
      </w:pPr>
    </w:p>
    <w:p w:rsidR="00D12B48" w:rsidRPr="00D12B48" w:rsidRDefault="00D12B48" w:rsidP="00D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4"/>
          <w:szCs w:val="24"/>
          <w:lang w:eastAsia="fr-FR"/>
        </w:rPr>
      </w:pPr>
      <w:r w:rsidRPr="00D12B48">
        <w:rPr>
          <w:rFonts w:ascii="Times New Roman" w:eastAsia="Times New Roman" w:hAnsi="Times New Roman" w:cs="Times New Roman"/>
          <w:color w:val="202124"/>
          <w:sz w:val="24"/>
          <w:szCs w:val="24"/>
          <w:lang w:val="en" w:eastAsia="fr-FR"/>
        </w:rPr>
        <w:t>- Fatimata Zahra Niang: Economic partnership agreements, a legal requirement of WTO law? European Institute of the University of Geneva, 73 pages.</w:t>
      </w:r>
    </w:p>
    <w:p w:rsidR="00582B64" w:rsidRDefault="00582B64" w:rsidP="65AF6301">
      <w:pPr>
        <w:spacing w:line="360" w:lineRule="auto"/>
        <w:rPr>
          <w:rFonts w:ascii="Times New Roman" w:eastAsia="Times New Roman" w:hAnsi="Times New Roman" w:cs="Times New Roman"/>
          <w:sz w:val="24"/>
          <w:szCs w:val="24"/>
        </w:rPr>
      </w:pPr>
    </w:p>
    <w:sectPr w:rsidR="00582B6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C44" w:rsidRDefault="001D1C44" w:rsidP="00125384">
      <w:pPr>
        <w:spacing w:after="0" w:line="240" w:lineRule="auto"/>
      </w:pPr>
      <w:r>
        <w:separator/>
      </w:r>
    </w:p>
  </w:endnote>
  <w:endnote w:type="continuationSeparator" w:id="0">
    <w:p w:rsidR="001D1C44" w:rsidRDefault="001D1C44" w:rsidP="0012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C44" w:rsidRDefault="001D1C44" w:rsidP="00125384">
      <w:pPr>
        <w:spacing w:after="0" w:line="240" w:lineRule="auto"/>
      </w:pPr>
      <w:r>
        <w:separator/>
      </w:r>
    </w:p>
  </w:footnote>
  <w:footnote w:type="continuationSeparator" w:id="0">
    <w:p w:rsidR="001D1C44" w:rsidRDefault="001D1C44" w:rsidP="00125384">
      <w:pPr>
        <w:spacing w:after="0" w:line="240" w:lineRule="auto"/>
      </w:pPr>
      <w:r>
        <w:continuationSeparator/>
      </w:r>
    </w:p>
  </w:footnote>
  <w:footnote w:id="1">
    <w:p w:rsidR="00125384" w:rsidRPr="00125384" w:rsidRDefault="00125384" w:rsidP="00125384">
      <w:pPr>
        <w:pStyle w:val="PrformatHTML"/>
        <w:shd w:val="clear" w:color="auto" w:fill="F8F9FA"/>
        <w:spacing w:line="540" w:lineRule="atLeast"/>
        <w:rPr>
          <w:rFonts w:ascii="Times New Roman" w:eastAsia="Times New Roman" w:hAnsi="Times New Roman" w:cs="Times New Roman"/>
          <w:color w:val="202124"/>
          <w:lang w:val="en" w:eastAsia="fr-FR"/>
        </w:rPr>
      </w:pPr>
      <w:r w:rsidRPr="00125384">
        <w:rPr>
          <w:rStyle w:val="Appelnotedebasdep"/>
          <w:rFonts w:ascii="Times New Roman" w:hAnsi="Times New Roman" w:cs="Times New Roman"/>
        </w:rPr>
        <w:footnoteRef/>
      </w:r>
      <w:r w:rsidRPr="00125384">
        <w:rPr>
          <w:rFonts w:ascii="Times New Roman" w:hAnsi="Times New Roman" w:cs="Times New Roman"/>
        </w:rPr>
        <w:t xml:space="preserve"> </w:t>
      </w:r>
      <w:r w:rsidRPr="00125384">
        <w:rPr>
          <w:rFonts w:ascii="Times New Roman" w:eastAsia="Times New Roman" w:hAnsi="Times New Roman" w:cs="Times New Roman"/>
          <w:color w:val="202124"/>
          <w:lang w:val="en" w:eastAsia="fr-FR"/>
        </w:rPr>
        <w:t>Dominique Carreau, Patrick Juillard, International economic law, 6th edition, Dalloz, 2017, 942 pages, Pp 262-263.</w:t>
      </w:r>
    </w:p>
  </w:footnote>
  <w:footnote w:id="2">
    <w:p w:rsidR="00125384" w:rsidRPr="00125384" w:rsidRDefault="00125384" w:rsidP="001253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eastAsia="fr-FR"/>
        </w:rPr>
      </w:pPr>
      <w:r w:rsidRPr="00125384">
        <w:rPr>
          <w:rStyle w:val="Appelnotedebasdep"/>
          <w:rFonts w:ascii="Times New Roman" w:hAnsi="Times New Roman" w:cs="Times New Roman"/>
          <w:sz w:val="20"/>
          <w:szCs w:val="20"/>
        </w:rPr>
        <w:footnoteRef/>
      </w:r>
      <w:r w:rsidRPr="00125384">
        <w:rPr>
          <w:rFonts w:ascii="Times New Roman" w:hAnsi="Times New Roman" w:cs="Times New Roman"/>
          <w:sz w:val="20"/>
          <w:szCs w:val="20"/>
        </w:rPr>
        <w:t xml:space="preserve"> </w:t>
      </w:r>
      <w:r w:rsidRPr="00125384">
        <w:rPr>
          <w:rFonts w:ascii="Times New Roman" w:hAnsi="Times New Roman" w:cs="Times New Roman"/>
          <w:sz w:val="20"/>
          <w:szCs w:val="20"/>
          <w:lang w:val="x-none" w:eastAsia="x-none"/>
        </w:rPr>
        <w:t xml:space="preserve"> </w:t>
      </w:r>
      <w:r w:rsidRPr="00125384">
        <w:rPr>
          <w:rFonts w:ascii="Times New Roman" w:eastAsia="Times New Roman" w:hAnsi="Times New Roman" w:cs="Times New Roman"/>
          <w:color w:val="202124"/>
          <w:sz w:val="20"/>
          <w:szCs w:val="20"/>
          <w:lang w:val="en" w:eastAsia="fr-FR"/>
        </w:rPr>
        <w:t xml:space="preserve">   Article 24, paragraph 3 a.</w:t>
      </w:r>
    </w:p>
  </w:footnote>
  <w:footnote w:id="3">
    <w:p w:rsidR="00125384" w:rsidRPr="00125384" w:rsidRDefault="00125384" w:rsidP="00125384">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125384">
        <w:rPr>
          <w:rFonts w:ascii="Times New Roman" w:eastAsia="Times New Roman" w:hAnsi="Times New Roman" w:cs="Times New Roman"/>
          <w:color w:val="202124"/>
          <w:lang w:val="en" w:eastAsia="fr-FR"/>
        </w:rPr>
        <w:t>Article 3 c) of the Treaty on European Union.</w:t>
      </w:r>
    </w:p>
    <w:p w:rsidR="00125384" w:rsidRPr="00125384" w:rsidRDefault="00125384">
      <w:pPr>
        <w:pStyle w:val="Notedebasdepage"/>
        <w:rPr>
          <w:lang w:val="fr-FR"/>
        </w:rPr>
      </w:pPr>
    </w:p>
  </w:footnote>
  <w:footnote w:id="4">
    <w:p w:rsidR="00125384" w:rsidRPr="00125384" w:rsidRDefault="00125384" w:rsidP="00125384">
      <w:pPr>
        <w:pStyle w:val="PrformatHTML"/>
        <w:shd w:val="clear" w:color="auto" w:fill="F8F9FA"/>
        <w:spacing w:line="540" w:lineRule="atLeast"/>
        <w:rPr>
          <w:rFonts w:ascii="Times New Roman" w:eastAsia="Times New Roman" w:hAnsi="Times New Roman" w:cs="Times New Roman"/>
          <w:color w:val="202124"/>
          <w:lang w:val="en" w:eastAsia="fr-FR"/>
        </w:rPr>
      </w:pPr>
      <w:r>
        <w:rPr>
          <w:rStyle w:val="Appelnotedebasdep"/>
        </w:rPr>
        <w:footnoteRef/>
      </w:r>
      <w:r>
        <w:t xml:space="preserve"> </w:t>
      </w:r>
      <w:r w:rsidRPr="00125384">
        <w:rPr>
          <w:rFonts w:ascii="Times New Roman" w:eastAsia="Times New Roman" w:hAnsi="Times New Roman" w:cs="Times New Roman"/>
          <w:color w:val="202124"/>
          <w:lang w:val="en" w:eastAsia="fr-FR"/>
        </w:rPr>
        <w:t>Art. I c. iv of GATT 1994, cited “Memorandum of Interpretation”.</w:t>
      </w:r>
    </w:p>
    <w:p w:rsidR="00125384" w:rsidRPr="00125384" w:rsidRDefault="00125384" w:rsidP="001253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eastAsia="fr-FR"/>
        </w:rPr>
      </w:pPr>
      <w:r w:rsidRPr="00125384">
        <w:rPr>
          <w:rFonts w:ascii="Times New Roman" w:eastAsia="Times New Roman" w:hAnsi="Times New Roman" w:cs="Times New Roman"/>
          <w:color w:val="202124"/>
          <w:sz w:val="20"/>
          <w:szCs w:val="20"/>
          <w:lang w:val="en" w:eastAsia="fr-FR"/>
        </w:rPr>
        <w:t xml:space="preserve"> </w:t>
      </w:r>
    </w:p>
    <w:p w:rsidR="00125384" w:rsidRPr="00125384" w:rsidRDefault="00125384">
      <w:pPr>
        <w:pStyle w:val="Notedebasdepage"/>
        <w:rPr>
          <w:lang w:val="fr-FR"/>
        </w:rPr>
      </w:pPr>
    </w:p>
  </w:footnote>
  <w:footnote w:id="5">
    <w:p w:rsidR="00EF5311" w:rsidRPr="00EF5311" w:rsidRDefault="00EF5311" w:rsidP="00EF5311">
      <w:pPr>
        <w:pStyle w:val="PrformatHTML"/>
        <w:shd w:val="clear" w:color="auto" w:fill="F8F9FA"/>
        <w:spacing w:line="540" w:lineRule="atLeast"/>
        <w:rPr>
          <w:rFonts w:ascii="Times New Roman" w:eastAsia="Times New Roman" w:hAnsi="Times New Roman" w:cs="Times New Roman"/>
          <w:color w:val="202124"/>
          <w:lang w:val="en" w:eastAsia="fr-FR"/>
        </w:rPr>
      </w:pPr>
      <w:r w:rsidRPr="00EF5311">
        <w:rPr>
          <w:rStyle w:val="Appelnotedebasdep"/>
          <w:rFonts w:ascii="Times New Roman" w:hAnsi="Times New Roman" w:cs="Times New Roman"/>
        </w:rPr>
        <w:footnoteRef/>
      </w:r>
      <w:r w:rsidRPr="00EF5311">
        <w:rPr>
          <w:rFonts w:ascii="Times New Roman" w:eastAsia="Times New Roman" w:hAnsi="Times New Roman" w:cs="Times New Roman"/>
          <w:color w:val="202124"/>
          <w:lang w:val="en" w:eastAsia="fr-FR"/>
        </w:rPr>
        <w:t xml:space="preserve"> Art. 24, paragraph 4.</w:t>
      </w:r>
    </w:p>
    <w:p w:rsidR="00EF5311" w:rsidRPr="00EF5311" w:rsidRDefault="00EF5311">
      <w:pPr>
        <w:pStyle w:val="Notedebasdepage"/>
        <w:rPr>
          <w:lang w:val="fr-FR"/>
        </w:rPr>
      </w:pPr>
    </w:p>
  </w:footnote>
  <w:footnote w:id="6">
    <w:p w:rsidR="00EF5311" w:rsidRPr="00EF5311" w:rsidRDefault="00EF5311" w:rsidP="00EF5311">
      <w:pPr>
        <w:pStyle w:val="Notedebasdepage"/>
        <w:jc w:val="both"/>
        <w:rPr>
          <w:lang w:eastAsia="x-none"/>
        </w:rPr>
      </w:pPr>
      <w:r>
        <w:rPr>
          <w:rStyle w:val="Appelnotedebasdep"/>
        </w:rPr>
        <w:footnoteRef/>
      </w:r>
      <w:r>
        <w:t xml:space="preserve"> </w:t>
      </w:r>
      <w:r w:rsidRPr="00EF5311">
        <w:rPr>
          <w:lang w:eastAsia="x-none"/>
        </w:rPr>
        <w:t>Ibid, pp 264-265.</w:t>
      </w:r>
    </w:p>
    <w:p w:rsidR="00EF5311" w:rsidRPr="00EF5311" w:rsidRDefault="00EF5311">
      <w:pPr>
        <w:pStyle w:val="Notedebasdepage"/>
        <w:rPr>
          <w:lang w:val="fr-FR"/>
        </w:rPr>
      </w:pPr>
    </w:p>
  </w:footnote>
  <w:footnote w:id="7">
    <w:p w:rsidR="00EF5311" w:rsidRPr="00EF5311" w:rsidRDefault="00EF5311" w:rsidP="00EF5311">
      <w:pPr>
        <w:pStyle w:val="Notedebasdepage"/>
        <w:jc w:val="both"/>
        <w:rPr>
          <w:lang w:eastAsia="x-none"/>
        </w:rPr>
      </w:pPr>
    </w:p>
    <w:p w:rsidR="00EF5311" w:rsidRPr="00EF5311" w:rsidRDefault="00EF5311" w:rsidP="00EF5311">
      <w:pPr>
        <w:spacing w:after="0" w:line="240" w:lineRule="auto"/>
        <w:jc w:val="both"/>
        <w:rPr>
          <w:rFonts w:ascii="Times New Roman" w:eastAsia="Times New Roman" w:hAnsi="Times New Roman" w:cs="Times New Roman"/>
          <w:sz w:val="20"/>
          <w:szCs w:val="20"/>
          <w:lang w:val="en-US" w:eastAsia="x-none"/>
        </w:rPr>
      </w:pPr>
      <w:r w:rsidRPr="00EF5311">
        <w:rPr>
          <w:rFonts w:ascii="Times New Roman" w:eastAsia="Times New Roman" w:hAnsi="Times New Roman" w:cs="Times New Roman"/>
          <w:sz w:val="20"/>
          <w:szCs w:val="20"/>
          <w:vertAlign w:val="superscript"/>
          <w:lang w:val="x-none" w:eastAsia="x-none"/>
        </w:rPr>
        <w:footnoteRef/>
      </w:r>
      <w:r w:rsidRPr="00EF5311">
        <w:rPr>
          <w:rFonts w:ascii="Times New Roman" w:eastAsia="Times New Roman" w:hAnsi="Times New Roman" w:cs="Times New Roman"/>
          <w:sz w:val="20"/>
          <w:szCs w:val="20"/>
          <w:lang w:val="en-US" w:eastAsia="x-none"/>
        </w:rPr>
        <w:t xml:space="preserve"> </w:t>
      </w:r>
      <w:r w:rsidR="00EE56DF">
        <w:rPr>
          <w:rFonts w:ascii="Times New Roman" w:eastAsia="Times New Roman" w:hAnsi="Times New Roman" w:cs="Times New Roman"/>
          <w:iCs/>
          <w:sz w:val="20"/>
          <w:szCs w:val="20"/>
          <w:lang w:val="en-US" w:eastAsia="x-none"/>
        </w:rPr>
        <w:t>Art 24, paragraph</w:t>
      </w:r>
      <w:r w:rsidRPr="00EF5311">
        <w:rPr>
          <w:rFonts w:ascii="Times New Roman" w:eastAsia="Times New Roman" w:hAnsi="Times New Roman" w:cs="Times New Roman"/>
          <w:iCs/>
          <w:sz w:val="20"/>
          <w:szCs w:val="20"/>
          <w:lang w:val="en-US" w:eastAsia="x-none"/>
        </w:rPr>
        <w:t xml:space="preserve"> 8 a.</w:t>
      </w:r>
    </w:p>
    <w:p w:rsidR="00EF5311" w:rsidRPr="00EF5311" w:rsidRDefault="00EF5311">
      <w:pPr>
        <w:pStyle w:val="Notedebasdepage"/>
        <w:rPr>
          <w:lang w:val="fr-FR"/>
        </w:rPr>
      </w:pPr>
    </w:p>
  </w:footnote>
  <w:footnote w:id="8">
    <w:p w:rsidR="00EF5311" w:rsidRPr="00EF5311" w:rsidRDefault="00EF5311" w:rsidP="00EF5311">
      <w:pPr>
        <w:spacing w:after="0" w:line="240" w:lineRule="auto"/>
        <w:jc w:val="both"/>
        <w:rPr>
          <w:rFonts w:ascii="Times New Roman" w:eastAsia="Times New Roman" w:hAnsi="Times New Roman" w:cs="Times New Roman"/>
          <w:sz w:val="20"/>
          <w:szCs w:val="20"/>
          <w:lang w:val="en-US" w:eastAsia="x-none"/>
        </w:rPr>
      </w:pPr>
      <w:r w:rsidRPr="00EF5311">
        <w:rPr>
          <w:rFonts w:ascii="Times New Roman" w:eastAsia="Times New Roman" w:hAnsi="Times New Roman" w:cs="Times New Roman"/>
          <w:sz w:val="20"/>
          <w:szCs w:val="20"/>
          <w:vertAlign w:val="superscript"/>
          <w:lang w:val="x-none" w:eastAsia="x-none"/>
        </w:rPr>
        <w:footnoteRef/>
      </w:r>
      <w:r w:rsidRPr="00EF5311">
        <w:rPr>
          <w:rFonts w:ascii="Times New Roman" w:eastAsia="Times New Roman" w:hAnsi="Times New Roman" w:cs="Times New Roman"/>
          <w:sz w:val="20"/>
          <w:szCs w:val="20"/>
          <w:lang w:val="x-none" w:eastAsia="x-none"/>
        </w:rPr>
        <w:t xml:space="preserve"> </w:t>
      </w:r>
      <w:r w:rsidRPr="00EF5311">
        <w:rPr>
          <w:rFonts w:ascii="Times New Roman" w:eastAsia="Times New Roman" w:hAnsi="Times New Roman" w:cs="Times New Roman"/>
          <w:iCs/>
          <w:sz w:val="20"/>
          <w:szCs w:val="20"/>
          <w:lang w:val="x-none" w:eastAsia="x-none"/>
        </w:rPr>
        <w:t>Art.12</w:t>
      </w:r>
      <w:r w:rsidRPr="00EF5311">
        <w:rPr>
          <w:rFonts w:ascii="Times New Roman" w:eastAsia="Times New Roman" w:hAnsi="Times New Roman" w:cs="Times New Roman"/>
          <w:iCs/>
          <w:sz w:val="20"/>
          <w:szCs w:val="20"/>
          <w:lang w:val="en-US" w:eastAsia="x-none"/>
        </w:rPr>
        <w:t xml:space="preserve"> .</w:t>
      </w:r>
    </w:p>
    <w:p w:rsidR="00EF5311" w:rsidRPr="00EF5311" w:rsidRDefault="00EF5311">
      <w:pPr>
        <w:pStyle w:val="Notedebasdepage"/>
        <w:rPr>
          <w:lang w:val="fr-FR"/>
        </w:rPr>
      </w:pPr>
    </w:p>
  </w:footnote>
  <w:footnote w:id="9">
    <w:p w:rsidR="00B24511" w:rsidRPr="00EF5311" w:rsidRDefault="00B24511" w:rsidP="00B24511">
      <w:pPr>
        <w:spacing w:after="0" w:line="240" w:lineRule="auto"/>
        <w:jc w:val="both"/>
        <w:rPr>
          <w:rFonts w:ascii="Times New Roman" w:eastAsia="Times New Roman" w:hAnsi="Times New Roman" w:cs="Times New Roman"/>
          <w:sz w:val="20"/>
          <w:szCs w:val="20"/>
          <w:lang w:val="en-US" w:eastAsia="x-none"/>
        </w:rPr>
      </w:pPr>
      <w:r>
        <w:rPr>
          <w:rStyle w:val="Appelnotedebasdep"/>
        </w:rPr>
        <w:footnoteRef/>
      </w:r>
      <w:r>
        <w:t xml:space="preserve"> </w:t>
      </w:r>
      <w:r w:rsidRPr="00EF5311">
        <w:rPr>
          <w:rFonts w:ascii="Times New Roman" w:eastAsia="Times New Roman" w:hAnsi="Times New Roman" w:cs="Times New Roman"/>
          <w:iCs/>
          <w:sz w:val="20"/>
          <w:szCs w:val="20"/>
          <w:lang w:val="x-none" w:eastAsia="x-none"/>
        </w:rPr>
        <w:t xml:space="preserve">Art.24 </w:t>
      </w:r>
      <w:r w:rsidRPr="00EF5311">
        <w:rPr>
          <w:rFonts w:ascii="Times New Roman" w:eastAsia="Times New Roman" w:hAnsi="Times New Roman" w:cs="Times New Roman"/>
          <w:iCs/>
          <w:sz w:val="20"/>
          <w:szCs w:val="20"/>
          <w:lang w:val="en-US" w:eastAsia="x-none"/>
        </w:rPr>
        <w:t>,</w:t>
      </w:r>
      <w:r w:rsidR="00EE56DF">
        <w:rPr>
          <w:rFonts w:ascii="Times New Roman" w:eastAsia="Times New Roman" w:hAnsi="Times New Roman" w:cs="Times New Roman"/>
          <w:iCs/>
          <w:sz w:val="20"/>
          <w:szCs w:val="20"/>
          <w:lang w:val="x-none" w:eastAsia="x-none"/>
        </w:rPr>
        <w:t>paragraph</w:t>
      </w:r>
      <w:r w:rsidRPr="00EF5311">
        <w:rPr>
          <w:rFonts w:ascii="Times New Roman" w:eastAsia="Times New Roman" w:hAnsi="Times New Roman" w:cs="Times New Roman"/>
          <w:iCs/>
          <w:sz w:val="20"/>
          <w:szCs w:val="20"/>
          <w:lang w:val="x-none" w:eastAsia="x-none"/>
        </w:rPr>
        <w:t xml:space="preserve"> 4</w:t>
      </w:r>
      <w:r w:rsidRPr="00EF5311">
        <w:rPr>
          <w:rFonts w:ascii="Times New Roman" w:eastAsia="Times New Roman" w:hAnsi="Times New Roman" w:cs="Times New Roman"/>
          <w:iCs/>
          <w:sz w:val="20"/>
          <w:szCs w:val="20"/>
          <w:lang w:val="en-US" w:eastAsia="x-none"/>
        </w:rPr>
        <w:t xml:space="preserve"> .</w:t>
      </w:r>
    </w:p>
    <w:p w:rsidR="00B24511" w:rsidRPr="00EF5311" w:rsidRDefault="00B24511" w:rsidP="00B24511">
      <w:pPr>
        <w:pStyle w:val="Notedebasdepage"/>
        <w:rPr>
          <w:lang w:val="fr-FR"/>
        </w:rPr>
      </w:pPr>
    </w:p>
    <w:p w:rsidR="00B24511" w:rsidRPr="00B24511" w:rsidRDefault="00B24511">
      <w:pPr>
        <w:pStyle w:val="Notedebasdepage"/>
        <w:rPr>
          <w:lang w:val="fr-FR"/>
        </w:rPr>
      </w:pPr>
    </w:p>
  </w:footnote>
  <w:footnote w:id="10">
    <w:p w:rsidR="00B30EFD" w:rsidRPr="00B30EFD" w:rsidRDefault="00B30EFD" w:rsidP="00B30EFD">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B30EFD">
        <w:rPr>
          <w:rFonts w:ascii="Times New Roman" w:eastAsia="Times New Roman" w:hAnsi="Times New Roman" w:cs="Times New Roman"/>
          <w:color w:val="202124"/>
          <w:lang w:val="en" w:eastAsia="fr-FR"/>
        </w:rPr>
        <w:t>Dr El Hadji A. Diouf: Regional Trade Agreements and the WTO: What status and what preferences for the Economic Partnership Agreements between the European Union and the ACP countries? pp 1 -5.</w:t>
      </w:r>
    </w:p>
    <w:p w:rsidR="00B30EFD" w:rsidRPr="00B30EFD" w:rsidRDefault="00B30EFD">
      <w:pPr>
        <w:pStyle w:val="Notedebasdepage"/>
        <w:rPr>
          <w:lang w:val="fr-FR"/>
        </w:rPr>
      </w:pPr>
    </w:p>
  </w:footnote>
  <w:footnote w:id="11">
    <w:p w:rsidR="00B30EFD" w:rsidRPr="00B30EFD" w:rsidRDefault="00B30EFD" w:rsidP="00B30EFD">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B30EFD">
        <w:rPr>
          <w:rFonts w:ascii="Times New Roman" w:eastAsia="Times New Roman" w:hAnsi="Times New Roman" w:cs="Times New Roman"/>
          <w:color w:val="202124"/>
          <w:lang w:val="en" w:eastAsia="fr-FR"/>
        </w:rPr>
        <w:t>A Free Trade Area is a group of countries that have adopted free trade among themselves (zero tariffs and no other restrictions on trade), without necessarily modifying the obstacles that each country places against countries outside the group. Everything indicates that the future Economic Partnership Agreements between the European Communities and the ACP countries will take the form of a Free Trade Area.</w:t>
      </w:r>
    </w:p>
    <w:p w:rsidR="00B30EFD" w:rsidRPr="00B30EFD" w:rsidRDefault="00B30EFD">
      <w:pPr>
        <w:pStyle w:val="Notedebasdepage"/>
        <w:rPr>
          <w:lang w:val="fr-FR"/>
        </w:rPr>
      </w:pPr>
    </w:p>
  </w:footnote>
  <w:footnote w:id="12">
    <w:p w:rsidR="00B30EFD" w:rsidRPr="00B30EFD" w:rsidRDefault="00B30EFD" w:rsidP="00B30EFD">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B30EFD">
        <w:rPr>
          <w:rFonts w:ascii="Times New Roman" w:eastAsia="Times New Roman" w:hAnsi="Times New Roman" w:cs="Times New Roman"/>
          <w:color w:val="202124"/>
          <w:lang w:val="en" w:eastAsia="fr-FR"/>
        </w:rPr>
        <w:t>A Customs Union is a group of countries forming a single customs territory in which customs duties and other barriers to trade are eliminated on most or all trade in products originating from these countries, and with a common foreign trade policy. (common external tariff) applied to other countries.</w:t>
      </w:r>
    </w:p>
    <w:p w:rsidR="00B30EFD" w:rsidRPr="00B30EFD" w:rsidRDefault="00B30EFD">
      <w:pPr>
        <w:pStyle w:val="Notedebasdepage"/>
        <w:rPr>
          <w:lang w:val="fr-FR"/>
        </w:rPr>
      </w:pPr>
    </w:p>
  </w:footnote>
  <w:footnote w:id="13">
    <w:p w:rsidR="00B30EFD" w:rsidRPr="00B30EFD" w:rsidRDefault="00B30EFD" w:rsidP="00B30EFD">
      <w:pPr>
        <w:pStyle w:val="PrformatHTML"/>
        <w:shd w:val="clear" w:color="auto" w:fill="F8F9FA"/>
        <w:spacing w:line="540" w:lineRule="atLeast"/>
        <w:rPr>
          <w:rFonts w:ascii="Times New Roman" w:eastAsia="Times New Roman" w:hAnsi="Times New Roman" w:cs="Times New Roman"/>
          <w:color w:val="202124"/>
          <w:lang w:eastAsia="fr-FR"/>
        </w:rPr>
      </w:pPr>
      <w:r w:rsidRPr="00B30EFD">
        <w:rPr>
          <w:rStyle w:val="Appelnotedebasdep"/>
          <w:rFonts w:ascii="Times New Roman" w:hAnsi="Times New Roman" w:cs="Times New Roman"/>
        </w:rPr>
        <w:footnoteRef/>
      </w:r>
      <w:r w:rsidRPr="00B30EFD">
        <w:rPr>
          <w:rFonts w:ascii="Times New Roman" w:hAnsi="Times New Roman" w:cs="Times New Roman"/>
        </w:rPr>
        <w:t xml:space="preserve"> </w:t>
      </w:r>
      <w:r w:rsidRPr="00B30EFD">
        <w:rPr>
          <w:rFonts w:ascii="Times New Roman" w:eastAsia="Times New Roman" w:hAnsi="Times New Roman" w:cs="Times New Roman"/>
          <w:color w:val="202124"/>
          <w:lang w:val="en" w:eastAsia="fr-FR"/>
        </w:rPr>
        <w:t>EU/ACP trade relations were governed for 25 years by the so-called Lomé Conventions. There were four from 1975 to 2000. They operated on the basis of non-reciprocity to promote access to European territory for ACP products free of customs duties and sometimes without quotas.</w:t>
      </w:r>
    </w:p>
    <w:p w:rsidR="00B30EFD" w:rsidRPr="00B30EFD" w:rsidRDefault="00B30EFD">
      <w:pPr>
        <w:pStyle w:val="Notedebasdepage"/>
        <w:rPr>
          <w:lang w:val="fr-FR"/>
        </w:rPr>
      </w:pPr>
    </w:p>
  </w:footnote>
  <w:footnote w:id="14">
    <w:p w:rsidR="00484133" w:rsidRPr="00484133" w:rsidRDefault="00484133" w:rsidP="00484133">
      <w:pPr>
        <w:pStyle w:val="PrformatHTML"/>
        <w:shd w:val="clear" w:color="auto" w:fill="F8F9FA"/>
        <w:spacing w:line="540" w:lineRule="atLeast"/>
        <w:rPr>
          <w:rFonts w:ascii="inherit" w:eastAsia="Times New Roman" w:hAnsi="inherit" w:cs="Courier New"/>
          <w:color w:val="202124"/>
          <w:sz w:val="42"/>
          <w:szCs w:val="42"/>
          <w:lang w:eastAsia="fr-FR"/>
        </w:rPr>
      </w:pPr>
      <w:r>
        <w:rPr>
          <w:rStyle w:val="Appelnotedebasdep"/>
        </w:rPr>
        <w:footnoteRef/>
      </w:r>
      <w:r>
        <w:t xml:space="preserve"> </w:t>
      </w:r>
      <w:r w:rsidRPr="00484133">
        <w:rPr>
          <w:rFonts w:ascii="Times New Roman" w:eastAsia="Times New Roman" w:hAnsi="Times New Roman" w:cs="Times New Roman"/>
          <w:color w:val="202124"/>
          <w:lang w:val="en" w:eastAsia="fr-FR"/>
        </w:rPr>
        <w:t>The Lomé Conventions above were preceded by the two Yaoundé Conventions. Unlike their successors, they were established on the basis of reciprocal commercial relations between the ACP countries and the EU.</w:t>
      </w:r>
      <w:r w:rsidRPr="00484133">
        <w:rPr>
          <w:rFonts w:ascii="inherit" w:eastAsia="Times New Roman" w:hAnsi="inherit" w:cs="Courier New"/>
          <w:color w:val="202124"/>
          <w:sz w:val="42"/>
          <w:szCs w:val="42"/>
          <w:lang w:val="en" w:eastAsia="fr-FR"/>
        </w:rPr>
        <w:t xml:space="preserve"> </w:t>
      </w:r>
      <w:r w:rsidRPr="00484133">
        <w:rPr>
          <w:rFonts w:ascii="Times New Roman" w:eastAsia="Times New Roman" w:hAnsi="Times New Roman" w:cs="Times New Roman"/>
          <w:color w:val="202124"/>
          <w:lang w:val="en" w:eastAsia="fr-FR"/>
        </w:rPr>
        <w:t>The starting point for this return to reciprocity, after the parenthesis of the Lomé Conventions, is the Cotonou Agreement signed on June 23, 2000, between the EU and the ACP countries.</w:t>
      </w:r>
    </w:p>
    <w:p w:rsidR="00484133" w:rsidRPr="00484133" w:rsidRDefault="00484133" w:rsidP="00484133">
      <w:pPr>
        <w:pStyle w:val="PrformatHTML"/>
        <w:shd w:val="clear" w:color="auto" w:fill="F8F9FA"/>
        <w:spacing w:line="540" w:lineRule="atLeast"/>
        <w:rPr>
          <w:rFonts w:ascii="Times New Roman" w:eastAsia="Times New Roman" w:hAnsi="Times New Roman" w:cs="Times New Roman"/>
          <w:color w:val="202124"/>
          <w:lang w:eastAsia="fr-FR"/>
        </w:rPr>
      </w:pPr>
    </w:p>
    <w:p w:rsidR="00484133" w:rsidRPr="00484133" w:rsidRDefault="00484133">
      <w:pPr>
        <w:pStyle w:val="Notedebasdepage"/>
        <w:rPr>
          <w:lang w:val="fr-FR"/>
        </w:rPr>
      </w:pPr>
    </w:p>
  </w:footnote>
  <w:footnote w:id="15">
    <w:p w:rsidR="00594BB4" w:rsidRPr="00594BB4" w:rsidRDefault="00594BB4" w:rsidP="00594BB4">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594BB4">
        <w:rPr>
          <w:rFonts w:ascii="Times New Roman" w:eastAsia="Times New Roman" w:hAnsi="Times New Roman" w:cs="Times New Roman"/>
          <w:color w:val="202124"/>
          <w:lang w:val="en" w:eastAsia="fr-FR"/>
        </w:rPr>
        <w:t>In cases where developing countries are parties to an agreement of the type referred to in paragraph I, some flexibility shall be provided to them with respect to the conditions set out in that paragraph, in particular with regard to subparagraph (b) of that paragraph, according to their level of development both overall and by sector and sub-sector.</w:t>
      </w:r>
    </w:p>
    <w:p w:rsidR="00594BB4" w:rsidRPr="00594BB4" w:rsidRDefault="00594BB4">
      <w:pPr>
        <w:pStyle w:val="Notedebasdepage"/>
        <w:rPr>
          <w:lang w:val="fr-FR"/>
        </w:rPr>
      </w:pPr>
    </w:p>
  </w:footnote>
  <w:footnote w:id="16">
    <w:p w:rsidR="00594BB4" w:rsidRPr="00594BB4" w:rsidRDefault="00594BB4" w:rsidP="00594BB4">
      <w:pPr>
        <w:spacing w:after="0" w:line="240" w:lineRule="auto"/>
        <w:jc w:val="both"/>
        <w:rPr>
          <w:rFonts w:ascii="Times New Roman" w:eastAsia="Times New Roman" w:hAnsi="Times New Roman" w:cs="Times New Roman"/>
          <w:sz w:val="20"/>
          <w:szCs w:val="20"/>
          <w:lang w:eastAsia="x-none"/>
        </w:rPr>
      </w:pPr>
      <w:r>
        <w:rPr>
          <w:rStyle w:val="Appelnotedebasdep"/>
        </w:rPr>
        <w:footnoteRef/>
      </w:r>
      <w:r>
        <w:t xml:space="preserve"> </w:t>
      </w:r>
      <w:hyperlink r:id="rId1" w:history="1">
        <w:r w:rsidRPr="00594BB4">
          <w:rPr>
            <w:rFonts w:ascii="Times New Roman" w:eastAsia="Times New Roman" w:hAnsi="Times New Roman" w:cs="Times New Roman"/>
            <w:color w:val="0000FF"/>
            <w:sz w:val="20"/>
            <w:szCs w:val="20"/>
            <w:u w:val="single"/>
            <w:lang w:val="x-none" w:eastAsia="x-none"/>
          </w:rPr>
          <w:t>http://www.fao.org/DOCREP/004/Y2732F/y2732f08.htm</w:t>
        </w:r>
      </w:hyperlink>
      <w:r w:rsidRPr="00594BB4">
        <w:rPr>
          <w:rFonts w:ascii="Times New Roman" w:eastAsia="Times New Roman" w:hAnsi="Times New Roman" w:cs="Times New Roman"/>
          <w:sz w:val="20"/>
          <w:szCs w:val="20"/>
          <w:lang w:eastAsia="x-none"/>
        </w:rPr>
        <w:t xml:space="preserve"> .</w:t>
      </w:r>
    </w:p>
    <w:p w:rsidR="00594BB4" w:rsidRPr="00594BB4" w:rsidRDefault="00594BB4">
      <w:pPr>
        <w:pStyle w:val="Notedebasdepage"/>
        <w:rPr>
          <w:lang w:val="fr-FR"/>
        </w:rPr>
      </w:pPr>
    </w:p>
  </w:footnote>
  <w:footnote w:id="17">
    <w:p w:rsidR="00594BB4" w:rsidRPr="00594BB4" w:rsidRDefault="00594BB4" w:rsidP="00594BB4">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594BB4">
        <w:rPr>
          <w:rFonts w:ascii="Times New Roman" w:eastAsia="Times New Roman" w:hAnsi="Times New Roman" w:cs="Times New Roman"/>
          <w:color w:val="202124"/>
          <w:lang w:val="en" w:eastAsia="fr-FR"/>
        </w:rPr>
        <w:t>It applies to the following: preferential tariff treatment granted by contracting parties developed in accordance with the GSP; differentiated and more favorable treatment with regard to non-tariff measures governed by instruments negotiated multilaterally under the auspices of the GATT; regional or global arrangements between developing countries for the reduction or elimination of customs duties on a mutual basis and, in accordance with such criteria or conditions as may be prescribed by the parties for the reduction, on a mutual basis, non-tariff measures affecting products that these contracting parties import from each other; and special treatment accorded to LDCs in the context of any general or specific measure in favor of developing countries.</w:t>
      </w:r>
    </w:p>
    <w:p w:rsidR="00594BB4" w:rsidRPr="00594BB4" w:rsidRDefault="00594BB4">
      <w:pPr>
        <w:pStyle w:val="Notedebasdepage"/>
        <w:rPr>
          <w:lang w:val="fr-FR"/>
        </w:rPr>
      </w:pPr>
    </w:p>
  </w:footnote>
  <w:footnote w:id="18">
    <w:p w:rsidR="00A301C4" w:rsidRPr="00A301C4" w:rsidRDefault="00A301C4" w:rsidP="00A301C4">
      <w:pPr>
        <w:pStyle w:val="PrformatHTML"/>
        <w:shd w:val="clear" w:color="auto" w:fill="F8F9FA"/>
        <w:spacing w:line="540" w:lineRule="atLeast"/>
        <w:rPr>
          <w:rFonts w:ascii="Times New Roman" w:eastAsia="Times New Roman" w:hAnsi="Times New Roman" w:cs="Times New Roman"/>
          <w:color w:val="202124"/>
          <w:lang w:val="en" w:eastAsia="fr-FR"/>
        </w:rPr>
      </w:pPr>
      <w:r w:rsidRPr="00A301C4">
        <w:rPr>
          <w:rStyle w:val="Appelnotedebasdep"/>
          <w:rFonts w:ascii="Times New Roman" w:hAnsi="Times New Roman" w:cs="Times New Roman"/>
        </w:rPr>
        <w:footnoteRef/>
      </w:r>
      <w:r w:rsidRPr="00A301C4">
        <w:rPr>
          <w:rFonts w:ascii="Times New Roman" w:hAnsi="Times New Roman" w:cs="Times New Roman"/>
        </w:rPr>
        <w:t xml:space="preserve"> </w:t>
      </w:r>
      <w:r w:rsidRPr="00A301C4">
        <w:rPr>
          <w:rFonts w:ascii="Times New Roman" w:eastAsia="Times New Roman" w:hAnsi="Times New Roman" w:cs="Times New Roman"/>
          <w:color w:val="202124"/>
          <w:lang w:val="en" w:eastAsia="fr-FR"/>
        </w:rPr>
        <w:t>In cases where developing countries are parties to an agreement of the type referred to in paragraph I, some flexibility shall be provided to them with respect to the conditions set out in that paragraph, in particular with regard to subparagraph (b) of that paragraph, according to their level of development both overall and by sector and sub-sector.</w:t>
      </w:r>
    </w:p>
    <w:p w:rsidR="00A301C4" w:rsidRPr="00A301C4" w:rsidRDefault="00A301C4">
      <w:pPr>
        <w:pStyle w:val="Notedebasdepage"/>
        <w:rPr>
          <w:lang w:val="fr-FR"/>
        </w:rPr>
      </w:pPr>
    </w:p>
  </w:footnote>
  <w:footnote w:id="19">
    <w:p w:rsidR="00A301C4" w:rsidRPr="00A301C4" w:rsidRDefault="00A301C4" w:rsidP="00A301C4">
      <w:pPr>
        <w:pStyle w:val="PrformatHTML"/>
        <w:shd w:val="clear" w:color="auto" w:fill="F8F9FA"/>
        <w:spacing w:line="540" w:lineRule="atLeast"/>
        <w:rPr>
          <w:rFonts w:ascii="Times New Roman" w:eastAsia="Times New Roman" w:hAnsi="Times New Roman" w:cs="Times New Roman"/>
          <w:color w:val="202124"/>
          <w:lang w:val="en" w:eastAsia="fr-FR"/>
        </w:rPr>
      </w:pPr>
      <w:r w:rsidRPr="00A301C4">
        <w:rPr>
          <w:rStyle w:val="Appelnotedebasdep"/>
          <w:rFonts w:ascii="Times New Roman" w:hAnsi="Times New Roman" w:cs="Times New Roman"/>
        </w:rPr>
        <w:footnoteRef/>
      </w:r>
      <w:r w:rsidRPr="00A301C4">
        <w:rPr>
          <w:rFonts w:ascii="Times New Roman" w:hAnsi="Times New Roman" w:cs="Times New Roman"/>
        </w:rPr>
        <w:t xml:space="preserve"> </w:t>
      </w:r>
      <w:r w:rsidRPr="00A301C4">
        <w:rPr>
          <w:rFonts w:ascii="Times New Roman" w:eastAsia="Times New Roman" w:hAnsi="Times New Roman" w:cs="Times New Roman"/>
          <w:color w:val="202124"/>
          <w:lang w:val="en" w:eastAsia="fr-FR"/>
        </w:rPr>
        <w:t>See Banana Affair.</w:t>
      </w:r>
    </w:p>
    <w:p w:rsidR="00A301C4" w:rsidRPr="00A301C4" w:rsidRDefault="00A301C4">
      <w:pPr>
        <w:pStyle w:val="Notedebasdepage"/>
        <w:rPr>
          <w:lang w:val="fr-FR"/>
        </w:rPr>
      </w:pPr>
    </w:p>
  </w:footnote>
  <w:footnote w:id="20">
    <w:p w:rsidR="002C42FB" w:rsidRPr="002C42FB" w:rsidRDefault="002C42FB" w:rsidP="002C42FB">
      <w:pPr>
        <w:pStyle w:val="PrformatHTML"/>
        <w:shd w:val="clear" w:color="auto" w:fill="F8F9FA"/>
        <w:spacing w:line="540" w:lineRule="atLeast"/>
        <w:rPr>
          <w:rFonts w:ascii="Times New Roman" w:eastAsia="Times New Roman" w:hAnsi="Times New Roman" w:cs="Times New Roman"/>
          <w:color w:val="202124"/>
          <w:lang w:val="en" w:eastAsia="fr-FR"/>
        </w:rPr>
      </w:pPr>
      <w:r w:rsidRPr="002C42FB">
        <w:rPr>
          <w:rStyle w:val="Appelnotedebasdep"/>
          <w:rFonts w:ascii="Times New Roman" w:hAnsi="Times New Roman" w:cs="Times New Roman"/>
        </w:rPr>
        <w:footnoteRef/>
      </w:r>
      <w:r w:rsidRPr="002C42FB">
        <w:rPr>
          <w:rFonts w:ascii="Times New Roman" w:hAnsi="Times New Roman" w:cs="Times New Roman"/>
        </w:rPr>
        <w:t xml:space="preserve"> </w:t>
      </w:r>
      <w:r w:rsidRPr="002C42FB">
        <w:rPr>
          <w:rFonts w:ascii="Times New Roman" w:eastAsia="Times New Roman" w:hAnsi="Times New Roman" w:cs="Times New Roman"/>
          <w:color w:val="202124"/>
          <w:lang w:val="en" w:eastAsia="fr-FR"/>
        </w:rPr>
        <w:t>Fatimata Zahra Niang: Economic partnership agreements, a legal requirement of WTO law? European Institute of the University of Geneva, 73 pages, pp 41-44.</w:t>
      </w:r>
    </w:p>
    <w:p w:rsidR="002C42FB" w:rsidRPr="002C42FB" w:rsidRDefault="002C42FB">
      <w:pPr>
        <w:pStyle w:val="Notedebasdepage"/>
        <w:rPr>
          <w:lang w:val="fr-FR"/>
        </w:rPr>
      </w:pPr>
    </w:p>
  </w:footnote>
  <w:footnote w:id="21">
    <w:p w:rsidR="002C42FB" w:rsidRPr="002C42FB" w:rsidRDefault="002C42FB" w:rsidP="002C42FB">
      <w:pPr>
        <w:pStyle w:val="PrformatHTML"/>
        <w:shd w:val="clear" w:color="auto" w:fill="F8F9FA"/>
        <w:spacing w:line="540" w:lineRule="atLeast"/>
        <w:rPr>
          <w:rFonts w:ascii="Times New Roman" w:eastAsia="Times New Roman" w:hAnsi="Times New Roman" w:cs="Times New Roman"/>
          <w:color w:val="202124"/>
          <w:lang w:val="en" w:eastAsia="fr-FR"/>
        </w:rPr>
      </w:pPr>
      <w:r w:rsidRPr="002C42FB">
        <w:rPr>
          <w:rStyle w:val="Appelnotedebasdep"/>
          <w:rFonts w:ascii="Times New Roman" w:hAnsi="Times New Roman" w:cs="Times New Roman"/>
        </w:rPr>
        <w:footnoteRef/>
      </w:r>
      <w:r w:rsidRPr="002C42FB">
        <w:rPr>
          <w:rFonts w:ascii="Times New Roman" w:hAnsi="Times New Roman" w:cs="Times New Roman"/>
        </w:rPr>
        <w:t xml:space="preserve"> </w:t>
      </w:r>
      <w:r w:rsidRPr="002C42FB">
        <w:rPr>
          <w:rFonts w:ascii="Times New Roman" w:eastAsia="Times New Roman" w:hAnsi="Times New Roman" w:cs="Times New Roman"/>
          <w:color w:val="202124"/>
          <w:lang w:val="en" w:eastAsia="fr-FR"/>
        </w:rPr>
        <w:t>Kerry CHASE, “Multilateralism compromised: the mysterious origins of GATT Article XXIV”, World Trade Review, 2006.</w:t>
      </w:r>
    </w:p>
    <w:p w:rsidR="002C42FB" w:rsidRPr="002C42FB" w:rsidRDefault="002C42FB">
      <w:pPr>
        <w:pStyle w:val="Notedebasdepage"/>
        <w:rPr>
          <w:lang w:val="fr-FR"/>
        </w:rPr>
      </w:pPr>
    </w:p>
  </w:footnote>
  <w:footnote w:id="22">
    <w:p w:rsidR="00315BDF" w:rsidRPr="00315BDF" w:rsidRDefault="00315BDF" w:rsidP="00315BDF">
      <w:pPr>
        <w:pStyle w:val="PrformatHTML"/>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315BDF">
        <w:rPr>
          <w:rFonts w:ascii="Times New Roman" w:eastAsia="Times New Roman" w:hAnsi="Times New Roman" w:cs="Times New Roman"/>
          <w:color w:val="202124"/>
          <w:lang w:val="en" w:eastAsia="fr-FR"/>
        </w:rPr>
        <w:t>Appointments at the head of GATT have enjoyed great longevity. Wyndham White (1948-1968), Olivier Long (1968-1979), Arthur Dunkel (1980-1993), Peter Sutherland (1993-1995).</w:t>
      </w:r>
    </w:p>
    <w:p w:rsidR="00315BDF" w:rsidRPr="00315BDF" w:rsidRDefault="00315BDF" w:rsidP="00315BDF">
      <w:pPr>
        <w:shd w:val="clear" w:color="auto" w:fill="F8F9FA"/>
        <w:spacing w:after="0" w:line="240" w:lineRule="auto"/>
        <w:rPr>
          <w:rFonts w:ascii="Times New Roman" w:eastAsia="Times New Roman" w:hAnsi="Times New Roman" w:cs="Times New Roman"/>
          <w:i/>
          <w:iCs/>
          <w:color w:val="202124"/>
          <w:sz w:val="20"/>
          <w:szCs w:val="20"/>
          <w:lang w:eastAsia="fr-FR"/>
        </w:rPr>
      </w:pPr>
    </w:p>
    <w:p w:rsidR="00315BDF" w:rsidRPr="00315BDF" w:rsidRDefault="00315BDF">
      <w:pPr>
        <w:pStyle w:val="Notedebasdepage"/>
        <w:rPr>
          <w:lang w:val="fr-FR"/>
        </w:rPr>
      </w:pPr>
    </w:p>
  </w:footnote>
  <w:footnote w:id="23">
    <w:p w:rsidR="00A153D1" w:rsidRPr="00A153D1" w:rsidRDefault="00A153D1" w:rsidP="00A153D1">
      <w:pPr>
        <w:pStyle w:val="PrformatHTML"/>
        <w:shd w:val="clear" w:color="auto" w:fill="F8F9FA"/>
        <w:spacing w:line="540" w:lineRule="atLeast"/>
        <w:rPr>
          <w:rFonts w:ascii="Times New Roman" w:eastAsia="Times New Roman" w:hAnsi="Times New Roman" w:cs="Times New Roman"/>
          <w:color w:val="202124"/>
          <w:lang w:val="en" w:eastAsia="fr-FR"/>
        </w:rPr>
      </w:pPr>
      <w:r w:rsidRPr="00A153D1">
        <w:rPr>
          <w:rStyle w:val="Appelnotedebasdep"/>
          <w:rFonts w:ascii="Times New Roman" w:hAnsi="Times New Roman" w:cs="Times New Roman"/>
        </w:rPr>
        <w:footnoteRef/>
      </w:r>
      <w:r w:rsidRPr="00A153D1">
        <w:rPr>
          <w:rFonts w:ascii="Times New Roman" w:hAnsi="Times New Roman" w:cs="Times New Roman"/>
        </w:rPr>
        <w:t xml:space="preserve"> </w:t>
      </w:r>
      <w:r w:rsidRPr="00A153D1">
        <w:rPr>
          <w:rFonts w:ascii="Times New Roman" w:eastAsia="Times New Roman" w:hAnsi="Times New Roman" w:cs="Times New Roman"/>
          <w:color w:val="202124"/>
          <w:lang w:val="en" w:eastAsia="fr-FR"/>
        </w:rPr>
        <w:t>Dr El Hadji A. Diouf: Regional Trade Agreements and the WTO: What status and what preferences for the Economic Partnership Agreements between the European Union and the ACP countries? Op.cit., pp 8-11.</w:t>
      </w:r>
    </w:p>
    <w:p w:rsidR="00A153D1" w:rsidRPr="00A153D1" w:rsidRDefault="00A153D1">
      <w:pPr>
        <w:pStyle w:val="Notedebasdepage"/>
        <w:rPr>
          <w:lang w:val="fr-FR"/>
        </w:rPr>
      </w:pPr>
    </w:p>
  </w:footnote>
  <w:footnote w:id="24">
    <w:p w:rsidR="00A153D1" w:rsidRPr="00A153D1" w:rsidRDefault="00A153D1" w:rsidP="00A153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val="en" w:eastAsia="fr-FR"/>
        </w:rPr>
      </w:pPr>
      <w:r w:rsidRPr="00A153D1">
        <w:rPr>
          <w:rStyle w:val="Appelnotedebasdep"/>
          <w:rFonts w:ascii="Times New Roman" w:hAnsi="Times New Roman" w:cs="Times New Roman"/>
          <w:sz w:val="20"/>
          <w:szCs w:val="20"/>
        </w:rPr>
        <w:footnoteRef/>
      </w:r>
      <w:r w:rsidRPr="00A153D1">
        <w:rPr>
          <w:rFonts w:ascii="Times New Roman" w:hAnsi="Times New Roman" w:cs="Times New Roman"/>
          <w:sz w:val="20"/>
          <w:szCs w:val="20"/>
        </w:rPr>
        <w:t xml:space="preserve"> </w:t>
      </w:r>
      <w:r w:rsidRPr="00A153D1">
        <w:rPr>
          <w:rFonts w:ascii="Times New Roman" w:eastAsia="Times New Roman" w:hAnsi="Times New Roman" w:cs="Times New Roman"/>
          <w:color w:val="202124"/>
          <w:sz w:val="20"/>
          <w:szCs w:val="20"/>
          <w:lang w:val="en" w:eastAsia="fr-FR"/>
        </w:rPr>
        <w:t xml:space="preserve">  Doha Ministerial Declaration (WT/MIN (01)/DEC/1), paragraph 29.  </w:t>
      </w:r>
    </w:p>
    <w:p w:rsidR="00A153D1" w:rsidRPr="00A153D1" w:rsidRDefault="00A153D1">
      <w:pPr>
        <w:pStyle w:val="Notedebasdepage"/>
        <w:rPr>
          <w:lang w:val="fr-FR"/>
        </w:rPr>
      </w:pPr>
    </w:p>
  </w:footnote>
  <w:footnote w:id="25">
    <w:p w:rsidR="00A153D1" w:rsidRPr="00A153D1" w:rsidRDefault="00A153D1" w:rsidP="00A153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val="en" w:eastAsia="fr-FR"/>
        </w:rPr>
      </w:pPr>
      <w:r>
        <w:rPr>
          <w:rStyle w:val="Appelnotedebasdep"/>
        </w:rPr>
        <w:footnoteRef/>
      </w:r>
      <w:r>
        <w:t xml:space="preserve"> </w:t>
      </w:r>
      <w:r w:rsidRPr="00A153D1">
        <w:rPr>
          <w:rFonts w:ascii="Times New Roman" w:eastAsia="Times New Roman" w:hAnsi="Times New Roman" w:cs="Times New Roman"/>
          <w:color w:val="202124"/>
          <w:sz w:val="20"/>
          <w:szCs w:val="20"/>
          <w:lang w:val="en" w:eastAsia="fr-FR"/>
        </w:rPr>
        <w:t>See the inventory of issues relating to regional trade agreements (TN/RL/W/8/Rev.1) prepared by the WTO Secretariat.</w:t>
      </w:r>
    </w:p>
    <w:p w:rsidR="00A153D1" w:rsidRPr="00A153D1" w:rsidRDefault="00A153D1">
      <w:pPr>
        <w:pStyle w:val="Notedebasdepage"/>
        <w:rPr>
          <w:lang w:val="fr-FR"/>
        </w:rPr>
      </w:pPr>
    </w:p>
  </w:footnote>
  <w:footnote w:id="26">
    <w:p w:rsidR="00A153D1" w:rsidRPr="00A153D1" w:rsidRDefault="00A153D1" w:rsidP="00A153D1">
      <w:pPr>
        <w:pStyle w:val="PrformatHTML"/>
        <w:shd w:val="clear" w:color="auto" w:fill="F8F9FA"/>
        <w:spacing w:line="540" w:lineRule="atLeast"/>
        <w:rPr>
          <w:rFonts w:ascii="Times New Roman" w:hAnsi="Times New Roman" w:cs="Times New Roman"/>
          <w:color w:val="202124"/>
        </w:rPr>
      </w:pPr>
      <w:r>
        <w:rPr>
          <w:rStyle w:val="Appelnotedebasdep"/>
        </w:rPr>
        <w:footnoteRef/>
      </w:r>
      <w:r>
        <w:t xml:space="preserve"> </w:t>
      </w:r>
      <w:r w:rsidRPr="00A153D1">
        <w:rPr>
          <w:rStyle w:val="y2iqfc"/>
          <w:rFonts w:ascii="Times New Roman" w:hAnsi="Times New Roman" w:cs="Times New Roman"/>
          <w:color w:val="202124"/>
          <w:lang w:val="en"/>
        </w:rPr>
        <w:t>The most significant negotiating proposals relating to development issues in RTAs were presented by the European Communities (TN/RL/W/14), Tur</w:t>
      </w:r>
      <w:r w:rsidR="00C95901">
        <w:rPr>
          <w:rStyle w:val="y2iqfc"/>
          <w:rFonts w:ascii="Times New Roman" w:hAnsi="Times New Roman" w:cs="Times New Roman"/>
          <w:color w:val="202124"/>
          <w:lang w:val="en"/>
        </w:rPr>
        <w:t>key (TN/RL/W/32), and Jamaica (</w:t>
      </w:r>
      <w:r w:rsidRPr="00A153D1">
        <w:rPr>
          <w:rStyle w:val="y2iqfc"/>
          <w:rFonts w:ascii="Times New Roman" w:hAnsi="Times New Roman" w:cs="Times New Roman"/>
          <w:color w:val="202124"/>
          <w:lang w:val="en"/>
        </w:rPr>
        <w:t>WT/GC/W/369), in addition to the main proposal submitted by Botswana on behalf of the ACP countries</w:t>
      </w:r>
      <w:r>
        <w:rPr>
          <w:rStyle w:val="y2iqfc"/>
          <w:rFonts w:ascii="Times New Roman" w:hAnsi="Times New Roman" w:cs="Times New Roman"/>
          <w:color w:val="202124"/>
          <w:lang w:val="en"/>
        </w:rPr>
        <w:t>.</w:t>
      </w:r>
    </w:p>
    <w:p w:rsidR="00A153D1" w:rsidRPr="00A153D1" w:rsidRDefault="00A153D1" w:rsidP="00A153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0"/>
          <w:szCs w:val="20"/>
          <w:lang w:val="en" w:eastAsia="fr-FR"/>
        </w:rPr>
      </w:pPr>
    </w:p>
    <w:p w:rsidR="00A153D1" w:rsidRPr="00A153D1" w:rsidRDefault="00A153D1">
      <w:pPr>
        <w:pStyle w:val="Notedebasdepage"/>
        <w:rPr>
          <w:lang w:val="fr-FR"/>
        </w:rPr>
      </w:pPr>
    </w:p>
  </w:footnote>
  <w:footnote w:id="27">
    <w:p w:rsidR="006D2EE0" w:rsidRPr="006D2EE0" w:rsidRDefault="006D2EE0" w:rsidP="006D2EE0">
      <w:pPr>
        <w:pStyle w:val="PrformatHTML"/>
        <w:shd w:val="clear" w:color="auto" w:fill="F8F9FA"/>
        <w:spacing w:line="540" w:lineRule="atLeast"/>
        <w:rPr>
          <w:rFonts w:ascii="inherit" w:eastAsia="Times New Roman" w:hAnsi="inherit" w:cs="Courier New"/>
          <w:color w:val="202124"/>
          <w:sz w:val="42"/>
          <w:szCs w:val="42"/>
          <w:lang w:eastAsia="fr-FR"/>
        </w:rPr>
      </w:pPr>
      <w:r>
        <w:rPr>
          <w:rStyle w:val="Appelnotedebasdep"/>
        </w:rPr>
        <w:footnoteRef/>
      </w:r>
      <w:r>
        <w:t xml:space="preserve"> </w:t>
      </w:r>
      <w:r w:rsidRPr="006D2EE0">
        <w:rPr>
          <w:rFonts w:ascii="Times New Roman" w:eastAsia="Times New Roman" w:hAnsi="Times New Roman" w:cs="Times New Roman"/>
          <w:color w:val="202124"/>
          <w:lang w:val="en" w:eastAsia="fr-FR"/>
        </w:rPr>
        <w:t>WTO Secretariat Report, WT/REG/W/46, p 5.</w:t>
      </w:r>
    </w:p>
    <w:p w:rsidR="006D2EE0" w:rsidRPr="006D2EE0" w:rsidRDefault="006D2EE0">
      <w:pPr>
        <w:pStyle w:val="Notedebasdepage"/>
        <w:rPr>
          <w:lang w:val="fr-FR"/>
        </w:rPr>
      </w:pPr>
    </w:p>
  </w:footnote>
  <w:footnote w:id="28">
    <w:p w:rsidR="005D7C70" w:rsidRDefault="005D7C70" w:rsidP="005D7C70">
      <w:pPr>
        <w:pStyle w:val="PrformatHTML"/>
        <w:shd w:val="clear" w:color="auto" w:fill="F8F9FA"/>
        <w:spacing w:line="540" w:lineRule="atLeast"/>
        <w:rPr>
          <w:rFonts w:ascii="Times New Roman" w:eastAsia="Times New Roman" w:hAnsi="Times New Roman" w:cs="Times New Roman"/>
          <w:color w:val="202124"/>
          <w:lang w:val="en" w:eastAsia="fr-FR"/>
        </w:rPr>
      </w:pPr>
      <w:r>
        <w:rPr>
          <w:rStyle w:val="Appelnotedebasdep"/>
        </w:rPr>
        <w:footnoteRef/>
      </w:r>
      <w:r>
        <w:t xml:space="preserve"> </w:t>
      </w:r>
      <w:r w:rsidRPr="005D7C70">
        <w:rPr>
          <w:rFonts w:ascii="Times New Roman" w:eastAsia="Times New Roman" w:hAnsi="Times New Roman" w:cs="Times New Roman"/>
          <w:color w:val="202124"/>
          <w:lang w:val="en" w:eastAsia="fr-FR"/>
        </w:rPr>
        <w:t>During the Uruguay Round, members clarified that this prescribed time limit “should only exceed 10 years in exceptional cases.” But the 2002 Secretariat report (WT/REG/W/46, p 22) indicated that, with regard to RTAs that entered into force in the second half of the 1990s, "it (was) rare for periods of transition exceeds 10 years. On the other hand, with regard to the numerous RTAs concluded recently, we observe that the transition periods well exceed 10 years. These cases become the rule rather than the exception. See communication proposal presented by the European Communities regarding RTAs, Document TN/RL/W/179 of May 12, 2005.</w:t>
      </w:r>
    </w:p>
    <w:p w:rsidR="005D7C70" w:rsidRPr="005D7C70" w:rsidRDefault="005D7C70">
      <w:pPr>
        <w:pStyle w:val="Notedebasdepage"/>
        <w:rPr>
          <w:lang w:val="fr-FR"/>
        </w:rPr>
      </w:pPr>
    </w:p>
  </w:footnote>
  <w:footnote w:id="29">
    <w:p w:rsidR="005D7C70" w:rsidRPr="005D7C70" w:rsidRDefault="005D7C70" w:rsidP="005D7C70">
      <w:pPr>
        <w:pStyle w:val="PrformatHTML"/>
        <w:shd w:val="clear" w:color="auto" w:fill="F8F9FA"/>
        <w:spacing w:line="540" w:lineRule="atLeast"/>
        <w:rPr>
          <w:rFonts w:ascii="Times New Roman" w:eastAsia="Times New Roman" w:hAnsi="Times New Roman" w:cs="Times New Roman"/>
          <w:color w:val="202124"/>
          <w:lang w:eastAsia="fr-FR"/>
        </w:rPr>
      </w:pPr>
      <w:r w:rsidRPr="005D7C70">
        <w:rPr>
          <w:rStyle w:val="Appelnotedebasdep"/>
          <w:rFonts w:ascii="Times New Roman" w:hAnsi="Times New Roman" w:cs="Times New Roman"/>
        </w:rPr>
        <w:footnoteRef/>
      </w:r>
      <w:r w:rsidRPr="005D7C70">
        <w:rPr>
          <w:rFonts w:ascii="Times New Roman" w:eastAsia="Times New Roman" w:hAnsi="Times New Roman" w:cs="Times New Roman"/>
          <w:color w:val="202124"/>
          <w:lang w:val="en" w:eastAsia="fr-FR"/>
        </w:rPr>
        <w:t xml:space="preserve"> Communication submitted by the ACP Group, TN/RL/W/155 of April 28, 2004.</w:t>
      </w:r>
    </w:p>
    <w:p w:rsidR="005D7C70" w:rsidRPr="005D7C70" w:rsidRDefault="005D7C70">
      <w:pPr>
        <w:pStyle w:val="Notedebasdepage"/>
        <w:rPr>
          <w:lang w:val="fr-FR"/>
        </w:rPr>
      </w:pPr>
    </w:p>
  </w:footnote>
  <w:footnote w:id="30">
    <w:p w:rsidR="005D7C70" w:rsidRPr="005D7C70" w:rsidRDefault="005D7C70" w:rsidP="005D7C70">
      <w:pPr>
        <w:pStyle w:val="PrformatHTML"/>
        <w:shd w:val="clear" w:color="auto" w:fill="F8F9FA"/>
        <w:spacing w:line="540" w:lineRule="atLeast"/>
        <w:rPr>
          <w:rFonts w:ascii="Times New Roman" w:eastAsia="Times New Roman" w:hAnsi="Times New Roman" w:cs="Times New Roman"/>
          <w:color w:val="202124"/>
          <w:lang w:val="en" w:eastAsia="fr-FR"/>
        </w:rPr>
      </w:pPr>
      <w:r w:rsidRPr="005D7C70">
        <w:rPr>
          <w:rStyle w:val="Appelnotedebasdep"/>
          <w:rFonts w:ascii="Times New Roman" w:hAnsi="Times New Roman" w:cs="Times New Roman"/>
        </w:rPr>
        <w:footnoteRef/>
      </w:r>
      <w:r w:rsidRPr="005D7C70">
        <w:rPr>
          <w:rFonts w:ascii="Times New Roman" w:hAnsi="Times New Roman" w:cs="Times New Roman"/>
        </w:rPr>
        <w:t xml:space="preserve"> </w:t>
      </w:r>
      <w:r w:rsidRPr="005D7C70">
        <w:rPr>
          <w:rFonts w:ascii="Times New Roman" w:eastAsia="Times New Roman" w:hAnsi="Times New Roman" w:cs="Times New Roman"/>
          <w:color w:val="202124"/>
          <w:lang w:val="en" w:eastAsia="fr-FR"/>
        </w:rPr>
        <w:t>Communication submitted by the ACP Group, TN/RL/W/155 of April 28, 2004, paragraph 11(ii).</w:t>
      </w:r>
    </w:p>
  </w:footnote>
  <w:footnote w:id="31">
    <w:p w:rsidR="005D7C70" w:rsidRPr="005D7C70" w:rsidRDefault="005D7C70" w:rsidP="005D7C70">
      <w:pPr>
        <w:pStyle w:val="PrformatHTML"/>
        <w:shd w:val="clear" w:color="auto" w:fill="F8F9FA"/>
        <w:spacing w:line="540" w:lineRule="atLeast"/>
        <w:rPr>
          <w:rFonts w:ascii="Times New Roman" w:hAnsi="Times New Roman" w:cs="Times New Roman"/>
          <w:color w:val="202124"/>
        </w:rPr>
      </w:pPr>
      <w:r>
        <w:rPr>
          <w:rStyle w:val="Appelnotedebasdep"/>
        </w:rPr>
        <w:footnoteRef/>
      </w:r>
      <w:r>
        <w:t xml:space="preserve"> </w:t>
      </w:r>
      <w:r w:rsidRPr="005D7C70">
        <w:rPr>
          <w:rStyle w:val="y2iqfc"/>
          <w:rFonts w:ascii="Times New Roman" w:hAnsi="Times New Roman" w:cs="Times New Roman"/>
          <w:color w:val="202124"/>
          <w:lang w:val="en"/>
        </w:rPr>
        <w:t>Dr El Hadji A. Diouf: Regional Trade Agreements and the WTO, op.cit., pp 13-15.</w:t>
      </w:r>
    </w:p>
    <w:p w:rsidR="005D7C70" w:rsidRPr="005D7C70" w:rsidRDefault="005D7C70" w:rsidP="005D7C70">
      <w:pPr>
        <w:pStyle w:val="Notedebasdepage"/>
        <w:rPr>
          <w:lang w:val="fr-FR"/>
        </w:rPr>
      </w:pPr>
    </w:p>
  </w:footnote>
  <w:footnote w:id="32">
    <w:p w:rsidR="00F60E11" w:rsidRPr="00F60E11" w:rsidRDefault="00F60E11" w:rsidP="00F60E11">
      <w:pPr>
        <w:pStyle w:val="PrformatHTML"/>
        <w:shd w:val="clear" w:color="auto" w:fill="F8F9FA"/>
        <w:spacing w:line="540" w:lineRule="atLeast"/>
        <w:rPr>
          <w:rFonts w:ascii="Times New Roman" w:eastAsia="Times New Roman" w:hAnsi="Times New Roman" w:cs="Times New Roman"/>
          <w:color w:val="202124"/>
          <w:lang w:val="en" w:eastAsia="fr-FR"/>
        </w:rPr>
      </w:pPr>
      <w:r w:rsidRPr="00F60E11">
        <w:rPr>
          <w:rStyle w:val="Appelnotedebasdep"/>
          <w:rFonts w:ascii="Times New Roman" w:hAnsi="Times New Roman" w:cs="Times New Roman"/>
        </w:rPr>
        <w:footnoteRef/>
      </w:r>
      <w:r w:rsidRPr="00F60E11">
        <w:rPr>
          <w:rFonts w:ascii="Times New Roman" w:hAnsi="Times New Roman" w:cs="Times New Roman"/>
        </w:rPr>
        <w:t xml:space="preserve"> </w:t>
      </w:r>
      <w:r w:rsidRPr="00F60E11">
        <w:rPr>
          <w:rFonts w:ascii="Times New Roman" w:eastAsia="Times New Roman" w:hAnsi="Times New Roman" w:cs="Times New Roman"/>
          <w:color w:val="202124"/>
          <w:lang w:val="en" w:eastAsia="fr-FR"/>
        </w:rPr>
        <w:t xml:space="preserve">  The only change made to Article XXIV to date concerns the Understanding relating to its interpretation in the GATT 1994. It clarified the provision relating to the transition period, but does not take into account the new situation. mixed RTAs.</w:t>
      </w:r>
    </w:p>
    <w:p w:rsidR="00F60E11" w:rsidRPr="00F60E11" w:rsidRDefault="00F60E11">
      <w:pPr>
        <w:pStyle w:val="Notedebasdepage"/>
        <w:rPr>
          <w:lang w:val="fr-FR"/>
        </w:rPr>
      </w:pPr>
    </w:p>
  </w:footnote>
  <w:footnote w:id="33">
    <w:p w:rsidR="00F60E11" w:rsidRPr="00F60E11" w:rsidRDefault="00F60E11" w:rsidP="00F60E11">
      <w:pPr>
        <w:pStyle w:val="PrformatHTML"/>
        <w:shd w:val="clear" w:color="auto" w:fill="F8F9FA"/>
        <w:spacing w:line="540" w:lineRule="atLeast"/>
        <w:rPr>
          <w:rFonts w:ascii="Times New Roman" w:hAnsi="Times New Roman" w:cs="Times New Roman"/>
          <w:color w:val="202124"/>
        </w:rPr>
      </w:pPr>
      <w:r w:rsidRPr="00F60E11">
        <w:rPr>
          <w:rStyle w:val="Appelnotedebasdep"/>
          <w:rFonts w:ascii="Times New Roman" w:hAnsi="Times New Roman" w:cs="Times New Roman"/>
        </w:rPr>
        <w:footnoteRef/>
      </w:r>
      <w:r w:rsidRPr="00F60E11">
        <w:rPr>
          <w:rFonts w:ascii="Times New Roman" w:hAnsi="Times New Roman" w:cs="Times New Roman"/>
        </w:rPr>
        <w:t xml:space="preserve"> </w:t>
      </w:r>
      <w:r w:rsidRPr="00F60E11">
        <w:rPr>
          <w:rStyle w:val="y2iqfc"/>
          <w:rFonts w:ascii="Times New Roman" w:hAnsi="Times New Roman" w:cs="Times New Roman"/>
          <w:color w:val="202124"/>
          <w:lang w:val="en"/>
        </w:rPr>
        <w:t>Communication presented by the ACP Group, TN/RL/W/155 of April 28, 2004, paragraph 8</w:t>
      </w:r>
      <w:r>
        <w:rPr>
          <w:rStyle w:val="y2iqfc"/>
          <w:rFonts w:ascii="Times New Roman" w:hAnsi="Times New Roman" w:cs="Times New Roman"/>
          <w:color w:val="202124"/>
          <w:lang w:val="en"/>
        </w:rPr>
        <w:t>.</w:t>
      </w:r>
    </w:p>
    <w:p w:rsidR="00F60E11" w:rsidRPr="00F60E11" w:rsidRDefault="00F60E11" w:rsidP="00F60E11">
      <w:pPr>
        <w:pStyle w:val="Notedebasdepage"/>
        <w:rPr>
          <w:lang w:val="fr-FR"/>
        </w:rPr>
      </w:pPr>
    </w:p>
  </w:footnote>
  <w:footnote w:id="34">
    <w:p w:rsidR="00F60E11" w:rsidRPr="00F60E11" w:rsidRDefault="00F60E11" w:rsidP="00F60E11">
      <w:pPr>
        <w:pStyle w:val="PrformatHTML"/>
        <w:shd w:val="clear" w:color="auto" w:fill="F8F9FA"/>
        <w:spacing w:line="540" w:lineRule="atLeast"/>
        <w:rPr>
          <w:rFonts w:ascii="Times New Roman" w:hAnsi="Times New Roman" w:cs="Times New Roman"/>
          <w:color w:val="202124"/>
        </w:rPr>
      </w:pPr>
      <w:r w:rsidRPr="00F60E11">
        <w:rPr>
          <w:rStyle w:val="Appelnotedebasdep"/>
          <w:rFonts w:ascii="Times New Roman" w:hAnsi="Times New Roman" w:cs="Times New Roman"/>
        </w:rPr>
        <w:footnoteRef/>
      </w:r>
      <w:r w:rsidRPr="00F60E11">
        <w:rPr>
          <w:rFonts w:ascii="Times New Roman" w:hAnsi="Times New Roman" w:cs="Times New Roman"/>
        </w:rPr>
        <w:t xml:space="preserve"> </w:t>
      </w:r>
      <w:r w:rsidRPr="00F60E11">
        <w:rPr>
          <w:rStyle w:val="y2iqfc"/>
          <w:rFonts w:ascii="Times New Roman" w:hAnsi="Times New Roman" w:cs="Times New Roman"/>
          <w:color w:val="202124"/>
          <w:lang w:val="en"/>
        </w:rPr>
        <w:t>Idem, paragraph 8.</w:t>
      </w:r>
    </w:p>
    <w:p w:rsidR="00F60E11" w:rsidRPr="00F60E11" w:rsidRDefault="00F60E11" w:rsidP="00F60E11">
      <w:pPr>
        <w:pStyle w:val="Notedebasdepage"/>
        <w:tabs>
          <w:tab w:val="left" w:pos="4060"/>
        </w:tabs>
        <w:rPr>
          <w:lang w:val="fr-FR"/>
        </w:rPr>
      </w:pPr>
      <w:r>
        <w:rPr>
          <w:lang w:val="fr-FR"/>
        </w:rPr>
        <w:tab/>
      </w:r>
    </w:p>
  </w:footnote>
  <w:footnote w:id="35">
    <w:p w:rsidR="00C66669" w:rsidRPr="00C66669" w:rsidRDefault="00C66669" w:rsidP="00C66669">
      <w:pPr>
        <w:pStyle w:val="PrformatHTML"/>
        <w:shd w:val="clear" w:color="auto" w:fill="F8F9FA"/>
        <w:spacing w:line="540" w:lineRule="atLeast"/>
        <w:rPr>
          <w:rFonts w:ascii="Times New Roman" w:eastAsia="Times New Roman" w:hAnsi="Times New Roman" w:cs="Times New Roman"/>
          <w:color w:val="202124"/>
          <w:lang w:val="en" w:eastAsia="fr-FR"/>
        </w:rPr>
      </w:pPr>
      <w:r w:rsidRPr="00C66669">
        <w:rPr>
          <w:rStyle w:val="Appelnotedebasdep"/>
          <w:rFonts w:ascii="Times New Roman" w:hAnsi="Times New Roman" w:cs="Times New Roman"/>
        </w:rPr>
        <w:footnoteRef/>
      </w:r>
      <w:r w:rsidRPr="00C66669">
        <w:rPr>
          <w:rFonts w:ascii="Times New Roman" w:hAnsi="Times New Roman" w:cs="Times New Roman"/>
        </w:rPr>
        <w:t xml:space="preserve"> </w:t>
      </w:r>
      <w:r w:rsidRPr="00C66669">
        <w:rPr>
          <w:rFonts w:ascii="Times New Roman" w:eastAsia="Times New Roman" w:hAnsi="Times New Roman" w:cs="Times New Roman"/>
          <w:color w:val="202124"/>
          <w:lang w:val="en" w:eastAsia="fr-FR"/>
        </w:rPr>
        <w:t>Türkiye – Restrictions on imports of textile and clothing products. Report of the Appellate Body, October 22, 1999 (WT/DS34/AB/R).</w:t>
      </w:r>
    </w:p>
    <w:p w:rsidR="00C66669" w:rsidRPr="00C66669" w:rsidRDefault="00C66669">
      <w:pPr>
        <w:pStyle w:val="Notedebasdepage"/>
        <w:rPr>
          <w:lang w:val="fr-FR"/>
        </w:rPr>
      </w:pPr>
    </w:p>
  </w:footnote>
  <w:footnote w:id="36">
    <w:p w:rsidR="00C66669" w:rsidRPr="00C66669" w:rsidRDefault="00C66669" w:rsidP="00C66669">
      <w:pPr>
        <w:pStyle w:val="PrformatHTML"/>
        <w:shd w:val="clear" w:color="auto" w:fill="F8F9FA"/>
        <w:spacing w:line="540" w:lineRule="atLeast"/>
        <w:rPr>
          <w:rFonts w:ascii="Times New Roman" w:eastAsia="Times New Roman" w:hAnsi="Times New Roman" w:cs="Times New Roman"/>
          <w:color w:val="202124"/>
          <w:lang w:val="en" w:eastAsia="fr-FR"/>
        </w:rPr>
      </w:pPr>
      <w:r w:rsidRPr="00C66669">
        <w:rPr>
          <w:rStyle w:val="Appelnotedebasdep"/>
          <w:rFonts w:ascii="Times New Roman" w:hAnsi="Times New Roman" w:cs="Times New Roman"/>
        </w:rPr>
        <w:footnoteRef/>
      </w:r>
      <w:r w:rsidRPr="00C66669">
        <w:rPr>
          <w:rFonts w:ascii="Times New Roman" w:hAnsi="Times New Roman" w:cs="Times New Roman"/>
        </w:rPr>
        <w:t xml:space="preserve"> </w:t>
      </w:r>
      <w:r w:rsidRPr="00C66669">
        <w:rPr>
          <w:rFonts w:ascii="Times New Roman" w:eastAsia="Times New Roman" w:hAnsi="Times New Roman" w:cs="Times New Roman"/>
          <w:color w:val="202124"/>
          <w:lang w:val="en" w:eastAsia="fr-FR"/>
        </w:rPr>
        <w:t>Idem, paragraph 48.</w:t>
      </w:r>
    </w:p>
    <w:p w:rsidR="00C66669" w:rsidRPr="00C66669" w:rsidRDefault="00C66669">
      <w:pPr>
        <w:pStyle w:val="Notedebasdepage"/>
        <w:rPr>
          <w:lang w:val="fr-FR"/>
        </w:rPr>
      </w:pPr>
    </w:p>
  </w:footnote>
  <w:footnote w:id="37">
    <w:p w:rsidR="00902D36" w:rsidRPr="00902D36" w:rsidRDefault="00902D36" w:rsidP="00902D36">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902D36">
        <w:rPr>
          <w:rFonts w:ascii="Times New Roman" w:eastAsia="Times New Roman" w:hAnsi="Times New Roman" w:cs="Times New Roman"/>
          <w:color w:val="202124"/>
          <w:lang w:val="en" w:eastAsia="fr-FR"/>
        </w:rPr>
        <w:t>Even if the establishment of a preferential regime within the framework of the GATT is contemporary with the various Lomé conventions, the discrimination from which the ACP countries benefited from the European Communities was mainly explained by a "lethargy" of the system. No country discriminated against by this situation had deemed it useful to raise it. These specific European preferences have in reality never had a legal basis in the GATT/WTO.</w:t>
      </w:r>
    </w:p>
    <w:p w:rsidR="00902D36" w:rsidRPr="00902D36" w:rsidRDefault="00902D36">
      <w:pPr>
        <w:pStyle w:val="Notedebasdepage"/>
        <w:rPr>
          <w:lang w:val="fr-FR"/>
        </w:rPr>
      </w:pPr>
    </w:p>
  </w:footnote>
  <w:footnote w:id="38">
    <w:p w:rsidR="001924AC" w:rsidRPr="001924AC" w:rsidRDefault="001924AC" w:rsidP="001924AC">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1924AC">
        <w:rPr>
          <w:rFonts w:ascii="Times New Roman" w:eastAsia="Times New Roman" w:hAnsi="Times New Roman" w:cs="Times New Roman"/>
          <w:color w:val="202124"/>
          <w:lang w:val="en" w:eastAsia="fr-FR"/>
        </w:rPr>
        <w:t>Dr El Hadji A. Diouf: Regional Trade Agreements and the WTO, op.cit., pp 6-7.</w:t>
      </w:r>
    </w:p>
    <w:p w:rsidR="001924AC" w:rsidRPr="001924AC" w:rsidRDefault="001924AC">
      <w:pPr>
        <w:pStyle w:val="Notedebasdepage"/>
        <w:rPr>
          <w:lang w:val="fr-FR"/>
        </w:rPr>
      </w:pPr>
    </w:p>
  </w:footnote>
  <w:footnote w:id="39">
    <w:p w:rsidR="00D12B48" w:rsidRPr="00D12B48" w:rsidRDefault="00D12B48" w:rsidP="00D12B48">
      <w:pPr>
        <w:pStyle w:val="PrformatHTML"/>
        <w:shd w:val="clear" w:color="auto" w:fill="F8F9FA"/>
        <w:spacing w:line="540" w:lineRule="atLeast"/>
        <w:rPr>
          <w:rFonts w:ascii="Times New Roman" w:eastAsia="Times New Roman" w:hAnsi="Times New Roman" w:cs="Times New Roman"/>
          <w:color w:val="202124"/>
          <w:lang w:eastAsia="fr-FR"/>
        </w:rPr>
      </w:pPr>
      <w:r>
        <w:rPr>
          <w:rStyle w:val="Appelnotedebasdep"/>
        </w:rPr>
        <w:footnoteRef/>
      </w:r>
      <w:r>
        <w:t xml:space="preserve"> </w:t>
      </w:r>
      <w:r w:rsidRPr="00D12B48">
        <w:rPr>
          <w:rFonts w:ascii="Times New Roman" w:eastAsia="Times New Roman" w:hAnsi="Times New Roman" w:cs="Times New Roman"/>
          <w:color w:val="202124"/>
          <w:lang w:val="en" w:eastAsia="fr-FR"/>
        </w:rPr>
        <w:t xml:space="preserve">Bilal Sanoussi, </w:t>
      </w:r>
      <w:proofErr w:type="gramStart"/>
      <w:r w:rsidRPr="00D12B48">
        <w:rPr>
          <w:rFonts w:ascii="Times New Roman" w:eastAsia="Times New Roman" w:hAnsi="Times New Roman" w:cs="Times New Roman"/>
          <w:color w:val="202124"/>
          <w:lang w:val="en" w:eastAsia="fr-FR"/>
        </w:rPr>
        <w:t>Who</w:t>
      </w:r>
      <w:proofErr w:type="gramEnd"/>
      <w:r w:rsidRPr="00D12B48">
        <w:rPr>
          <w:rFonts w:ascii="Times New Roman" w:eastAsia="Times New Roman" w:hAnsi="Times New Roman" w:cs="Times New Roman"/>
          <w:color w:val="202124"/>
          <w:lang w:val="en" w:eastAsia="fr-FR"/>
        </w:rPr>
        <w:t xml:space="preserve"> will negotiate with the European Union? Search for an ACP/EU negotiation framework, Insights on trade negotiations, Vol. I, No. 1, February 2002.</w:t>
      </w:r>
    </w:p>
    <w:p w:rsidR="00D12B48" w:rsidRPr="00D12B48" w:rsidRDefault="00D12B48" w:rsidP="00D12B48">
      <w:pPr>
        <w:pStyle w:val="Notedebasdepage"/>
        <w:jc w:val="both"/>
        <w:rPr>
          <w:lang w:val="x-none" w:eastAsia="x-none"/>
        </w:rPr>
      </w:pPr>
    </w:p>
    <w:p w:rsidR="00D12B48" w:rsidRPr="00D12B48" w:rsidRDefault="00D12B48">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FE7B"/>
    <w:multiLevelType w:val="hybridMultilevel"/>
    <w:tmpl w:val="57EA025E"/>
    <w:lvl w:ilvl="0" w:tplc="4C9ED75A">
      <w:start w:val="1"/>
      <w:numFmt w:val="bullet"/>
      <w:lvlText w:val=""/>
      <w:lvlJc w:val="left"/>
      <w:pPr>
        <w:ind w:left="720" w:hanging="360"/>
      </w:pPr>
      <w:rPr>
        <w:rFonts w:ascii="Symbol" w:hAnsi="Symbol" w:hint="default"/>
      </w:rPr>
    </w:lvl>
    <w:lvl w:ilvl="1" w:tplc="185850F8">
      <w:start w:val="1"/>
      <w:numFmt w:val="bullet"/>
      <w:lvlText w:val="o"/>
      <w:lvlJc w:val="left"/>
      <w:pPr>
        <w:ind w:left="1440" w:hanging="360"/>
      </w:pPr>
      <w:rPr>
        <w:rFonts w:ascii="Courier New" w:hAnsi="Courier New" w:hint="default"/>
      </w:rPr>
    </w:lvl>
    <w:lvl w:ilvl="2" w:tplc="935803BE">
      <w:start w:val="1"/>
      <w:numFmt w:val="bullet"/>
      <w:lvlText w:val=""/>
      <w:lvlJc w:val="left"/>
      <w:pPr>
        <w:ind w:left="2160" w:hanging="360"/>
      </w:pPr>
      <w:rPr>
        <w:rFonts w:ascii="Wingdings" w:hAnsi="Wingdings" w:hint="default"/>
      </w:rPr>
    </w:lvl>
    <w:lvl w:ilvl="3" w:tplc="ECDC6E72">
      <w:start w:val="1"/>
      <w:numFmt w:val="bullet"/>
      <w:lvlText w:val=""/>
      <w:lvlJc w:val="left"/>
      <w:pPr>
        <w:ind w:left="2880" w:hanging="360"/>
      </w:pPr>
      <w:rPr>
        <w:rFonts w:ascii="Symbol" w:hAnsi="Symbol" w:hint="default"/>
      </w:rPr>
    </w:lvl>
    <w:lvl w:ilvl="4" w:tplc="A342A804">
      <w:start w:val="1"/>
      <w:numFmt w:val="bullet"/>
      <w:lvlText w:val="o"/>
      <w:lvlJc w:val="left"/>
      <w:pPr>
        <w:ind w:left="3600" w:hanging="360"/>
      </w:pPr>
      <w:rPr>
        <w:rFonts w:ascii="Courier New" w:hAnsi="Courier New" w:hint="default"/>
      </w:rPr>
    </w:lvl>
    <w:lvl w:ilvl="5" w:tplc="35E4DAAE">
      <w:start w:val="1"/>
      <w:numFmt w:val="bullet"/>
      <w:lvlText w:val=""/>
      <w:lvlJc w:val="left"/>
      <w:pPr>
        <w:ind w:left="4320" w:hanging="360"/>
      </w:pPr>
      <w:rPr>
        <w:rFonts w:ascii="Wingdings" w:hAnsi="Wingdings" w:hint="default"/>
      </w:rPr>
    </w:lvl>
    <w:lvl w:ilvl="6" w:tplc="D6CE5D00">
      <w:start w:val="1"/>
      <w:numFmt w:val="bullet"/>
      <w:lvlText w:val=""/>
      <w:lvlJc w:val="left"/>
      <w:pPr>
        <w:ind w:left="5040" w:hanging="360"/>
      </w:pPr>
      <w:rPr>
        <w:rFonts w:ascii="Symbol" w:hAnsi="Symbol" w:hint="default"/>
      </w:rPr>
    </w:lvl>
    <w:lvl w:ilvl="7" w:tplc="1BF6163A">
      <w:start w:val="1"/>
      <w:numFmt w:val="bullet"/>
      <w:lvlText w:val="o"/>
      <w:lvlJc w:val="left"/>
      <w:pPr>
        <w:ind w:left="5760" w:hanging="360"/>
      </w:pPr>
      <w:rPr>
        <w:rFonts w:ascii="Courier New" w:hAnsi="Courier New" w:hint="default"/>
      </w:rPr>
    </w:lvl>
    <w:lvl w:ilvl="8" w:tplc="14E02DAC">
      <w:start w:val="1"/>
      <w:numFmt w:val="bullet"/>
      <w:lvlText w:val=""/>
      <w:lvlJc w:val="left"/>
      <w:pPr>
        <w:ind w:left="6480" w:hanging="360"/>
      </w:pPr>
      <w:rPr>
        <w:rFonts w:ascii="Wingdings" w:hAnsi="Wingdings" w:hint="default"/>
      </w:rPr>
    </w:lvl>
  </w:abstractNum>
  <w:abstractNum w:abstractNumId="1" w15:restartNumberingAfterBreak="0">
    <w:nsid w:val="40FE1184"/>
    <w:multiLevelType w:val="multilevel"/>
    <w:tmpl w:val="5C18A0D8"/>
    <w:lvl w:ilvl="0">
      <w:numFmt w:val="bullet"/>
      <w:lvlText w:val="-"/>
      <w:lvlJc w:val="left"/>
      <w:pPr>
        <w:tabs>
          <w:tab w:val="num" w:pos="0"/>
        </w:tabs>
        <w:ind w:left="720" w:hanging="360"/>
      </w:pPr>
      <w:rPr>
        <w:rFonts w:ascii="Times New Roman" w:hAnsi="Times New Roman" w:cs="Times New Roman"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54E43"/>
    <w:rsid w:val="00076E5E"/>
    <w:rsid w:val="00125384"/>
    <w:rsid w:val="001924AC"/>
    <w:rsid w:val="00194692"/>
    <w:rsid w:val="001D1C44"/>
    <w:rsid w:val="001F39EF"/>
    <w:rsid w:val="002C42FB"/>
    <w:rsid w:val="00315BDF"/>
    <w:rsid w:val="003746E6"/>
    <w:rsid w:val="0042557E"/>
    <w:rsid w:val="00484133"/>
    <w:rsid w:val="004E196F"/>
    <w:rsid w:val="00582B64"/>
    <w:rsid w:val="00594BB4"/>
    <w:rsid w:val="005D7C70"/>
    <w:rsid w:val="006D2EE0"/>
    <w:rsid w:val="008777FE"/>
    <w:rsid w:val="00882880"/>
    <w:rsid w:val="00902D36"/>
    <w:rsid w:val="00A063B4"/>
    <w:rsid w:val="00A153D1"/>
    <w:rsid w:val="00A301C4"/>
    <w:rsid w:val="00B24511"/>
    <w:rsid w:val="00B30EFD"/>
    <w:rsid w:val="00B51508"/>
    <w:rsid w:val="00B732B0"/>
    <w:rsid w:val="00C66669"/>
    <w:rsid w:val="00C95901"/>
    <w:rsid w:val="00C96299"/>
    <w:rsid w:val="00D12B48"/>
    <w:rsid w:val="00DA0129"/>
    <w:rsid w:val="00DF2241"/>
    <w:rsid w:val="00EE56DF"/>
    <w:rsid w:val="00EF5311"/>
    <w:rsid w:val="00F45C71"/>
    <w:rsid w:val="00F60E11"/>
    <w:rsid w:val="00FF3F33"/>
    <w:rsid w:val="4A077DAB"/>
    <w:rsid w:val="65AF6301"/>
    <w:rsid w:val="79254E43"/>
    <w:rsid w:val="7964F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C339"/>
  <w15:chartTrackingRefBased/>
  <w15:docId w15:val="{58E3F7C3-C50C-4BE9-9AA8-FCC891A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Notedebasdepage">
    <w:name w:val="footnote text"/>
    <w:basedOn w:val="Normal"/>
    <w:link w:val="NotedebasdepageCar"/>
    <w:rsid w:val="004E196F"/>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NotedebasdepageCar">
    <w:name w:val="Note de bas de page Car"/>
    <w:basedOn w:val="Policepardfaut"/>
    <w:link w:val="Notedebasdepage"/>
    <w:rsid w:val="004E196F"/>
    <w:rPr>
      <w:rFonts w:ascii="Times New Roman" w:eastAsia="Times New Roman" w:hAnsi="Times New Roman" w:cs="Times New Roman"/>
      <w:sz w:val="20"/>
      <w:szCs w:val="20"/>
      <w:lang w:val="en-US" w:eastAsia="zh-CN"/>
    </w:rPr>
  </w:style>
  <w:style w:type="paragraph" w:styleId="Paragraphedeliste">
    <w:name w:val="List Paragraph"/>
    <w:basedOn w:val="Normal"/>
    <w:qFormat/>
    <w:rsid w:val="004E196F"/>
    <w:pPr>
      <w:suppressAutoHyphens/>
      <w:spacing w:after="0" w:line="240" w:lineRule="auto"/>
      <w:ind w:left="720"/>
      <w:contextualSpacing/>
    </w:pPr>
    <w:rPr>
      <w:rFonts w:ascii="Calibri" w:eastAsia="Calibri" w:hAnsi="Calibri" w:cs="Times New Roman"/>
      <w:sz w:val="24"/>
      <w:szCs w:val="24"/>
      <w:lang w:eastAsia="zh-CN"/>
    </w:rPr>
  </w:style>
  <w:style w:type="paragraph" w:styleId="PrformatHTML">
    <w:name w:val="HTML Preformatted"/>
    <w:basedOn w:val="Normal"/>
    <w:link w:val="PrformatHTMLCar"/>
    <w:uiPriority w:val="99"/>
    <w:unhideWhenUsed/>
    <w:rsid w:val="004E196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4E196F"/>
    <w:rPr>
      <w:rFonts w:ascii="Consolas" w:hAnsi="Consolas"/>
      <w:sz w:val="20"/>
      <w:szCs w:val="20"/>
    </w:rPr>
  </w:style>
  <w:style w:type="character" w:styleId="Lienhypertexte">
    <w:name w:val="Hyperlink"/>
    <w:uiPriority w:val="99"/>
    <w:unhideWhenUsed/>
    <w:rsid w:val="00882880"/>
    <w:rPr>
      <w:color w:val="0000FF"/>
      <w:u w:val="single"/>
    </w:rPr>
  </w:style>
  <w:style w:type="character" w:styleId="Appelnotedebasdep">
    <w:name w:val="footnote reference"/>
    <w:basedOn w:val="Policepardfaut"/>
    <w:uiPriority w:val="99"/>
    <w:unhideWhenUsed/>
    <w:rsid w:val="00125384"/>
    <w:rPr>
      <w:vertAlign w:val="superscript"/>
    </w:rPr>
  </w:style>
  <w:style w:type="character" w:customStyle="1" w:styleId="y2iqfc">
    <w:name w:val="y2iqfc"/>
    <w:basedOn w:val="Policepardfaut"/>
    <w:rsid w:val="00A1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57">
      <w:bodyDiv w:val="1"/>
      <w:marLeft w:val="0"/>
      <w:marRight w:val="0"/>
      <w:marTop w:val="0"/>
      <w:marBottom w:val="0"/>
      <w:divBdr>
        <w:top w:val="none" w:sz="0" w:space="0" w:color="auto"/>
        <w:left w:val="none" w:sz="0" w:space="0" w:color="auto"/>
        <w:bottom w:val="none" w:sz="0" w:space="0" w:color="auto"/>
        <w:right w:val="none" w:sz="0" w:space="0" w:color="auto"/>
      </w:divBdr>
    </w:div>
    <w:div w:id="20981706">
      <w:bodyDiv w:val="1"/>
      <w:marLeft w:val="0"/>
      <w:marRight w:val="0"/>
      <w:marTop w:val="0"/>
      <w:marBottom w:val="0"/>
      <w:divBdr>
        <w:top w:val="none" w:sz="0" w:space="0" w:color="auto"/>
        <w:left w:val="none" w:sz="0" w:space="0" w:color="auto"/>
        <w:bottom w:val="none" w:sz="0" w:space="0" w:color="auto"/>
        <w:right w:val="none" w:sz="0" w:space="0" w:color="auto"/>
      </w:divBdr>
    </w:div>
    <w:div w:id="106436540">
      <w:bodyDiv w:val="1"/>
      <w:marLeft w:val="0"/>
      <w:marRight w:val="0"/>
      <w:marTop w:val="0"/>
      <w:marBottom w:val="0"/>
      <w:divBdr>
        <w:top w:val="none" w:sz="0" w:space="0" w:color="auto"/>
        <w:left w:val="none" w:sz="0" w:space="0" w:color="auto"/>
        <w:bottom w:val="none" w:sz="0" w:space="0" w:color="auto"/>
        <w:right w:val="none" w:sz="0" w:space="0" w:color="auto"/>
      </w:divBdr>
    </w:div>
    <w:div w:id="151914778">
      <w:bodyDiv w:val="1"/>
      <w:marLeft w:val="0"/>
      <w:marRight w:val="0"/>
      <w:marTop w:val="0"/>
      <w:marBottom w:val="0"/>
      <w:divBdr>
        <w:top w:val="none" w:sz="0" w:space="0" w:color="auto"/>
        <w:left w:val="none" w:sz="0" w:space="0" w:color="auto"/>
        <w:bottom w:val="none" w:sz="0" w:space="0" w:color="auto"/>
        <w:right w:val="none" w:sz="0" w:space="0" w:color="auto"/>
      </w:divBdr>
    </w:div>
    <w:div w:id="166988617">
      <w:bodyDiv w:val="1"/>
      <w:marLeft w:val="0"/>
      <w:marRight w:val="0"/>
      <w:marTop w:val="0"/>
      <w:marBottom w:val="0"/>
      <w:divBdr>
        <w:top w:val="none" w:sz="0" w:space="0" w:color="auto"/>
        <w:left w:val="none" w:sz="0" w:space="0" w:color="auto"/>
        <w:bottom w:val="none" w:sz="0" w:space="0" w:color="auto"/>
        <w:right w:val="none" w:sz="0" w:space="0" w:color="auto"/>
      </w:divBdr>
    </w:div>
    <w:div w:id="192690704">
      <w:bodyDiv w:val="1"/>
      <w:marLeft w:val="0"/>
      <w:marRight w:val="0"/>
      <w:marTop w:val="0"/>
      <w:marBottom w:val="0"/>
      <w:divBdr>
        <w:top w:val="none" w:sz="0" w:space="0" w:color="auto"/>
        <w:left w:val="none" w:sz="0" w:space="0" w:color="auto"/>
        <w:bottom w:val="none" w:sz="0" w:space="0" w:color="auto"/>
        <w:right w:val="none" w:sz="0" w:space="0" w:color="auto"/>
      </w:divBdr>
    </w:div>
    <w:div w:id="259071814">
      <w:bodyDiv w:val="1"/>
      <w:marLeft w:val="0"/>
      <w:marRight w:val="0"/>
      <w:marTop w:val="0"/>
      <w:marBottom w:val="0"/>
      <w:divBdr>
        <w:top w:val="none" w:sz="0" w:space="0" w:color="auto"/>
        <w:left w:val="none" w:sz="0" w:space="0" w:color="auto"/>
        <w:bottom w:val="none" w:sz="0" w:space="0" w:color="auto"/>
        <w:right w:val="none" w:sz="0" w:space="0" w:color="auto"/>
      </w:divBdr>
    </w:div>
    <w:div w:id="327371911">
      <w:bodyDiv w:val="1"/>
      <w:marLeft w:val="0"/>
      <w:marRight w:val="0"/>
      <w:marTop w:val="0"/>
      <w:marBottom w:val="0"/>
      <w:divBdr>
        <w:top w:val="none" w:sz="0" w:space="0" w:color="auto"/>
        <w:left w:val="none" w:sz="0" w:space="0" w:color="auto"/>
        <w:bottom w:val="none" w:sz="0" w:space="0" w:color="auto"/>
        <w:right w:val="none" w:sz="0" w:space="0" w:color="auto"/>
      </w:divBdr>
    </w:div>
    <w:div w:id="348794387">
      <w:bodyDiv w:val="1"/>
      <w:marLeft w:val="0"/>
      <w:marRight w:val="0"/>
      <w:marTop w:val="0"/>
      <w:marBottom w:val="0"/>
      <w:divBdr>
        <w:top w:val="none" w:sz="0" w:space="0" w:color="auto"/>
        <w:left w:val="none" w:sz="0" w:space="0" w:color="auto"/>
        <w:bottom w:val="none" w:sz="0" w:space="0" w:color="auto"/>
        <w:right w:val="none" w:sz="0" w:space="0" w:color="auto"/>
      </w:divBdr>
    </w:div>
    <w:div w:id="352852204">
      <w:bodyDiv w:val="1"/>
      <w:marLeft w:val="0"/>
      <w:marRight w:val="0"/>
      <w:marTop w:val="0"/>
      <w:marBottom w:val="0"/>
      <w:divBdr>
        <w:top w:val="none" w:sz="0" w:space="0" w:color="auto"/>
        <w:left w:val="none" w:sz="0" w:space="0" w:color="auto"/>
        <w:bottom w:val="none" w:sz="0" w:space="0" w:color="auto"/>
        <w:right w:val="none" w:sz="0" w:space="0" w:color="auto"/>
      </w:divBdr>
    </w:div>
    <w:div w:id="466435351">
      <w:bodyDiv w:val="1"/>
      <w:marLeft w:val="0"/>
      <w:marRight w:val="0"/>
      <w:marTop w:val="0"/>
      <w:marBottom w:val="0"/>
      <w:divBdr>
        <w:top w:val="none" w:sz="0" w:space="0" w:color="auto"/>
        <w:left w:val="none" w:sz="0" w:space="0" w:color="auto"/>
        <w:bottom w:val="none" w:sz="0" w:space="0" w:color="auto"/>
        <w:right w:val="none" w:sz="0" w:space="0" w:color="auto"/>
      </w:divBdr>
    </w:div>
    <w:div w:id="498616316">
      <w:bodyDiv w:val="1"/>
      <w:marLeft w:val="0"/>
      <w:marRight w:val="0"/>
      <w:marTop w:val="0"/>
      <w:marBottom w:val="0"/>
      <w:divBdr>
        <w:top w:val="none" w:sz="0" w:space="0" w:color="auto"/>
        <w:left w:val="none" w:sz="0" w:space="0" w:color="auto"/>
        <w:bottom w:val="none" w:sz="0" w:space="0" w:color="auto"/>
        <w:right w:val="none" w:sz="0" w:space="0" w:color="auto"/>
      </w:divBdr>
    </w:div>
    <w:div w:id="547836620">
      <w:bodyDiv w:val="1"/>
      <w:marLeft w:val="0"/>
      <w:marRight w:val="0"/>
      <w:marTop w:val="0"/>
      <w:marBottom w:val="0"/>
      <w:divBdr>
        <w:top w:val="none" w:sz="0" w:space="0" w:color="auto"/>
        <w:left w:val="none" w:sz="0" w:space="0" w:color="auto"/>
        <w:bottom w:val="none" w:sz="0" w:space="0" w:color="auto"/>
        <w:right w:val="none" w:sz="0" w:space="0" w:color="auto"/>
      </w:divBdr>
    </w:div>
    <w:div w:id="566960530">
      <w:bodyDiv w:val="1"/>
      <w:marLeft w:val="0"/>
      <w:marRight w:val="0"/>
      <w:marTop w:val="0"/>
      <w:marBottom w:val="0"/>
      <w:divBdr>
        <w:top w:val="none" w:sz="0" w:space="0" w:color="auto"/>
        <w:left w:val="none" w:sz="0" w:space="0" w:color="auto"/>
        <w:bottom w:val="none" w:sz="0" w:space="0" w:color="auto"/>
        <w:right w:val="none" w:sz="0" w:space="0" w:color="auto"/>
      </w:divBdr>
    </w:div>
    <w:div w:id="574632563">
      <w:bodyDiv w:val="1"/>
      <w:marLeft w:val="0"/>
      <w:marRight w:val="0"/>
      <w:marTop w:val="0"/>
      <w:marBottom w:val="0"/>
      <w:divBdr>
        <w:top w:val="none" w:sz="0" w:space="0" w:color="auto"/>
        <w:left w:val="none" w:sz="0" w:space="0" w:color="auto"/>
        <w:bottom w:val="none" w:sz="0" w:space="0" w:color="auto"/>
        <w:right w:val="none" w:sz="0" w:space="0" w:color="auto"/>
      </w:divBdr>
    </w:div>
    <w:div w:id="576717757">
      <w:bodyDiv w:val="1"/>
      <w:marLeft w:val="0"/>
      <w:marRight w:val="0"/>
      <w:marTop w:val="0"/>
      <w:marBottom w:val="0"/>
      <w:divBdr>
        <w:top w:val="none" w:sz="0" w:space="0" w:color="auto"/>
        <w:left w:val="none" w:sz="0" w:space="0" w:color="auto"/>
        <w:bottom w:val="none" w:sz="0" w:space="0" w:color="auto"/>
        <w:right w:val="none" w:sz="0" w:space="0" w:color="auto"/>
      </w:divBdr>
    </w:div>
    <w:div w:id="597954097">
      <w:bodyDiv w:val="1"/>
      <w:marLeft w:val="0"/>
      <w:marRight w:val="0"/>
      <w:marTop w:val="0"/>
      <w:marBottom w:val="0"/>
      <w:divBdr>
        <w:top w:val="none" w:sz="0" w:space="0" w:color="auto"/>
        <w:left w:val="none" w:sz="0" w:space="0" w:color="auto"/>
        <w:bottom w:val="none" w:sz="0" w:space="0" w:color="auto"/>
        <w:right w:val="none" w:sz="0" w:space="0" w:color="auto"/>
      </w:divBdr>
    </w:div>
    <w:div w:id="605649531">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sChild>
        <w:div w:id="1950045961">
          <w:marLeft w:val="0"/>
          <w:marRight w:val="0"/>
          <w:marTop w:val="0"/>
          <w:marBottom w:val="0"/>
          <w:divBdr>
            <w:top w:val="none" w:sz="0" w:space="0" w:color="auto"/>
            <w:left w:val="none" w:sz="0" w:space="0" w:color="auto"/>
            <w:bottom w:val="none" w:sz="0" w:space="0" w:color="auto"/>
            <w:right w:val="none" w:sz="0" w:space="0" w:color="auto"/>
          </w:divBdr>
          <w:divsChild>
            <w:div w:id="1926524668">
              <w:marLeft w:val="0"/>
              <w:marRight w:val="0"/>
              <w:marTop w:val="0"/>
              <w:marBottom w:val="0"/>
              <w:divBdr>
                <w:top w:val="none" w:sz="0" w:space="0" w:color="auto"/>
                <w:left w:val="none" w:sz="0" w:space="0" w:color="auto"/>
                <w:bottom w:val="none" w:sz="0" w:space="0" w:color="auto"/>
                <w:right w:val="none" w:sz="0" w:space="0" w:color="auto"/>
              </w:divBdr>
              <w:divsChild>
                <w:div w:id="1317808584">
                  <w:marLeft w:val="0"/>
                  <w:marRight w:val="0"/>
                  <w:marTop w:val="0"/>
                  <w:marBottom w:val="0"/>
                  <w:divBdr>
                    <w:top w:val="none" w:sz="0" w:space="0" w:color="auto"/>
                    <w:left w:val="none" w:sz="0" w:space="0" w:color="auto"/>
                    <w:bottom w:val="none" w:sz="0" w:space="0" w:color="auto"/>
                    <w:right w:val="none" w:sz="0" w:space="0" w:color="auto"/>
                  </w:divBdr>
                  <w:divsChild>
                    <w:div w:id="1815827941">
                      <w:marLeft w:val="0"/>
                      <w:marRight w:val="0"/>
                      <w:marTop w:val="0"/>
                      <w:marBottom w:val="0"/>
                      <w:divBdr>
                        <w:top w:val="none" w:sz="0" w:space="0" w:color="auto"/>
                        <w:left w:val="none" w:sz="0" w:space="0" w:color="auto"/>
                        <w:bottom w:val="none" w:sz="0" w:space="0" w:color="auto"/>
                        <w:right w:val="none" w:sz="0" w:space="0" w:color="auto"/>
                      </w:divBdr>
                      <w:divsChild>
                        <w:div w:id="1897205934">
                          <w:marLeft w:val="0"/>
                          <w:marRight w:val="0"/>
                          <w:marTop w:val="0"/>
                          <w:marBottom w:val="0"/>
                          <w:divBdr>
                            <w:top w:val="none" w:sz="0" w:space="0" w:color="auto"/>
                            <w:left w:val="none" w:sz="0" w:space="0" w:color="auto"/>
                            <w:bottom w:val="none" w:sz="0" w:space="0" w:color="auto"/>
                            <w:right w:val="none" w:sz="0" w:space="0" w:color="auto"/>
                          </w:divBdr>
                          <w:divsChild>
                            <w:div w:id="1384133925">
                              <w:marLeft w:val="0"/>
                              <w:marRight w:val="0"/>
                              <w:marTop w:val="0"/>
                              <w:marBottom w:val="0"/>
                              <w:divBdr>
                                <w:top w:val="none" w:sz="0" w:space="0" w:color="auto"/>
                                <w:left w:val="none" w:sz="0" w:space="0" w:color="auto"/>
                                <w:bottom w:val="none" w:sz="0" w:space="0" w:color="auto"/>
                                <w:right w:val="none" w:sz="0" w:space="0" w:color="auto"/>
                              </w:divBdr>
                              <w:divsChild>
                                <w:div w:id="1978753553">
                                  <w:marLeft w:val="0"/>
                                  <w:marRight w:val="0"/>
                                  <w:marTop w:val="0"/>
                                  <w:marBottom w:val="0"/>
                                  <w:divBdr>
                                    <w:top w:val="none" w:sz="0" w:space="0" w:color="auto"/>
                                    <w:left w:val="none" w:sz="0" w:space="0" w:color="auto"/>
                                    <w:bottom w:val="none" w:sz="0" w:space="0" w:color="auto"/>
                                    <w:right w:val="none" w:sz="0" w:space="0" w:color="auto"/>
                                  </w:divBdr>
                                  <w:divsChild>
                                    <w:div w:id="543563619">
                                      <w:marLeft w:val="0"/>
                                      <w:marRight w:val="0"/>
                                      <w:marTop w:val="0"/>
                                      <w:marBottom w:val="0"/>
                                      <w:divBdr>
                                        <w:top w:val="none" w:sz="0" w:space="0" w:color="auto"/>
                                        <w:left w:val="none" w:sz="0" w:space="0" w:color="auto"/>
                                        <w:bottom w:val="none" w:sz="0" w:space="0" w:color="auto"/>
                                        <w:right w:val="none" w:sz="0" w:space="0" w:color="auto"/>
                                      </w:divBdr>
                                    </w:div>
                                    <w:div w:id="2131705717">
                                      <w:marLeft w:val="0"/>
                                      <w:marRight w:val="0"/>
                                      <w:marTop w:val="0"/>
                                      <w:marBottom w:val="0"/>
                                      <w:divBdr>
                                        <w:top w:val="none" w:sz="0" w:space="0" w:color="auto"/>
                                        <w:left w:val="none" w:sz="0" w:space="0" w:color="auto"/>
                                        <w:bottom w:val="none" w:sz="0" w:space="0" w:color="auto"/>
                                        <w:right w:val="none" w:sz="0" w:space="0" w:color="auto"/>
                                      </w:divBdr>
                                      <w:divsChild>
                                        <w:div w:id="1817915572">
                                          <w:marLeft w:val="0"/>
                                          <w:marRight w:val="165"/>
                                          <w:marTop w:val="150"/>
                                          <w:marBottom w:val="0"/>
                                          <w:divBdr>
                                            <w:top w:val="none" w:sz="0" w:space="0" w:color="auto"/>
                                            <w:left w:val="none" w:sz="0" w:space="0" w:color="auto"/>
                                            <w:bottom w:val="none" w:sz="0" w:space="0" w:color="auto"/>
                                            <w:right w:val="none" w:sz="0" w:space="0" w:color="auto"/>
                                          </w:divBdr>
                                          <w:divsChild>
                                            <w:div w:id="1234438668">
                                              <w:marLeft w:val="0"/>
                                              <w:marRight w:val="0"/>
                                              <w:marTop w:val="0"/>
                                              <w:marBottom w:val="0"/>
                                              <w:divBdr>
                                                <w:top w:val="none" w:sz="0" w:space="0" w:color="auto"/>
                                                <w:left w:val="none" w:sz="0" w:space="0" w:color="auto"/>
                                                <w:bottom w:val="none" w:sz="0" w:space="0" w:color="auto"/>
                                                <w:right w:val="none" w:sz="0" w:space="0" w:color="auto"/>
                                              </w:divBdr>
                                              <w:divsChild>
                                                <w:div w:id="716050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350274">
      <w:bodyDiv w:val="1"/>
      <w:marLeft w:val="0"/>
      <w:marRight w:val="0"/>
      <w:marTop w:val="0"/>
      <w:marBottom w:val="0"/>
      <w:divBdr>
        <w:top w:val="none" w:sz="0" w:space="0" w:color="auto"/>
        <w:left w:val="none" w:sz="0" w:space="0" w:color="auto"/>
        <w:bottom w:val="none" w:sz="0" w:space="0" w:color="auto"/>
        <w:right w:val="none" w:sz="0" w:space="0" w:color="auto"/>
      </w:divBdr>
    </w:div>
    <w:div w:id="697202896">
      <w:bodyDiv w:val="1"/>
      <w:marLeft w:val="0"/>
      <w:marRight w:val="0"/>
      <w:marTop w:val="0"/>
      <w:marBottom w:val="0"/>
      <w:divBdr>
        <w:top w:val="none" w:sz="0" w:space="0" w:color="auto"/>
        <w:left w:val="none" w:sz="0" w:space="0" w:color="auto"/>
        <w:bottom w:val="none" w:sz="0" w:space="0" w:color="auto"/>
        <w:right w:val="none" w:sz="0" w:space="0" w:color="auto"/>
      </w:divBdr>
    </w:div>
    <w:div w:id="794565834">
      <w:bodyDiv w:val="1"/>
      <w:marLeft w:val="0"/>
      <w:marRight w:val="0"/>
      <w:marTop w:val="0"/>
      <w:marBottom w:val="0"/>
      <w:divBdr>
        <w:top w:val="none" w:sz="0" w:space="0" w:color="auto"/>
        <w:left w:val="none" w:sz="0" w:space="0" w:color="auto"/>
        <w:bottom w:val="none" w:sz="0" w:space="0" w:color="auto"/>
        <w:right w:val="none" w:sz="0" w:space="0" w:color="auto"/>
      </w:divBdr>
    </w:div>
    <w:div w:id="841047210">
      <w:bodyDiv w:val="1"/>
      <w:marLeft w:val="0"/>
      <w:marRight w:val="0"/>
      <w:marTop w:val="0"/>
      <w:marBottom w:val="0"/>
      <w:divBdr>
        <w:top w:val="none" w:sz="0" w:space="0" w:color="auto"/>
        <w:left w:val="none" w:sz="0" w:space="0" w:color="auto"/>
        <w:bottom w:val="none" w:sz="0" w:space="0" w:color="auto"/>
        <w:right w:val="none" w:sz="0" w:space="0" w:color="auto"/>
      </w:divBdr>
    </w:div>
    <w:div w:id="841091826">
      <w:bodyDiv w:val="1"/>
      <w:marLeft w:val="0"/>
      <w:marRight w:val="0"/>
      <w:marTop w:val="0"/>
      <w:marBottom w:val="0"/>
      <w:divBdr>
        <w:top w:val="none" w:sz="0" w:space="0" w:color="auto"/>
        <w:left w:val="none" w:sz="0" w:space="0" w:color="auto"/>
        <w:bottom w:val="none" w:sz="0" w:space="0" w:color="auto"/>
        <w:right w:val="none" w:sz="0" w:space="0" w:color="auto"/>
      </w:divBdr>
    </w:div>
    <w:div w:id="900949116">
      <w:bodyDiv w:val="1"/>
      <w:marLeft w:val="0"/>
      <w:marRight w:val="0"/>
      <w:marTop w:val="0"/>
      <w:marBottom w:val="0"/>
      <w:divBdr>
        <w:top w:val="none" w:sz="0" w:space="0" w:color="auto"/>
        <w:left w:val="none" w:sz="0" w:space="0" w:color="auto"/>
        <w:bottom w:val="none" w:sz="0" w:space="0" w:color="auto"/>
        <w:right w:val="none" w:sz="0" w:space="0" w:color="auto"/>
      </w:divBdr>
    </w:div>
    <w:div w:id="925721911">
      <w:bodyDiv w:val="1"/>
      <w:marLeft w:val="0"/>
      <w:marRight w:val="0"/>
      <w:marTop w:val="0"/>
      <w:marBottom w:val="0"/>
      <w:divBdr>
        <w:top w:val="none" w:sz="0" w:space="0" w:color="auto"/>
        <w:left w:val="none" w:sz="0" w:space="0" w:color="auto"/>
        <w:bottom w:val="none" w:sz="0" w:space="0" w:color="auto"/>
        <w:right w:val="none" w:sz="0" w:space="0" w:color="auto"/>
      </w:divBdr>
    </w:div>
    <w:div w:id="929043055">
      <w:bodyDiv w:val="1"/>
      <w:marLeft w:val="0"/>
      <w:marRight w:val="0"/>
      <w:marTop w:val="0"/>
      <w:marBottom w:val="0"/>
      <w:divBdr>
        <w:top w:val="none" w:sz="0" w:space="0" w:color="auto"/>
        <w:left w:val="none" w:sz="0" w:space="0" w:color="auto"/>
        <w:bottom w:val="none" w:sz="0" w:space="0" w:color="auto"/>
        <w:right w:val="none" w:sz="0" w:space="0" w:color="auto"/>
      </w:divBdr>
    </w:div>
    <w:div w:id="979921910">
      <w:bodyDiv w:val="1"/>
      <w:marLeft w:val="0"/>
      <w:marRight w:val="0"/>
      <w:marTop w:val="0"/>
      <w:marBottom w:val="0"/>
      <w:divBdr>
        <w:top w:val="none" w:sz="0" w:space="0" w:color="auto"/>
        <w:left w:val="none" w:sz="0" w:space="0" w:color="auto"/>
        <w:bottom w:val="none" w:sz="0" w:space="0" w:color="auto"/>
        <w:right w:val="none" w:sz="0" w:space="0" w:color="auto"/>
      </w:divBdr>
    </w:div>
    <w:div w:id="1001810232">
      <w:bodyDiv w:val="1"/>
      <w:marLeft w:val="0"/>
      <w:marRight w:val="0"/>
      <w:marTop w:val="0"/>
      <w:marBottom w:val="0"/>
      <w:divBdr>
        <w:top w:val="none" w:sz="0" w:space="0" w:color="auto"/>
        <w:left w:val="none" w:sz="0" w:space="0" w:color="auto"/>
        <w:bottom w:val="none" w:sz="0" w:space="0" w:color="auto"/>
        <w:right w:val="none" w:sz="0" w:space="0" w:color="auto"/>
      </w:divBdr>
    </w:div>
    <w:div w:id="1055005120">
      <w:bodyDiv w:val="1"/>
      <w:marLeft w:val="0"/>
      <w:marRight w:val="0"/>
      <w:marTop w:val="0"/>
      <w:marBottom w:val="0"/>
      <w:divBdr>
        <w:top w:val="none" w:sz="0" w:space="0" w:color="auto"/>
        <w:left w:val="none" w:sz="0" w:space="0" w:color="auto"/>
        <w:bottom w:val="none" w:sz="0" w:space="0" w:color="auto"/>
        <w:right w:val="none" w:sz="0" w:space="0" w:color="auto"/>
      </w:divBdr>
    </w:div>
    <w:div w:id="1178813406">
      <w:bodyDiv w:val="1"/>
      <w:marLeft w:val="0"/>
      <w:marRight w:val="0"/>
      <w:marTop w:val="0"/>
      <w:marBottom w:val="0"/>
      <w:divBdr>
        <w:top w:val="none" w:sz="0" w:space="0" w:color="auto"/>
        <w:left w:val="none" w:sz="0" w:space="0" w:color="auto"/>
        <w:bottom w:val="none" w:sz="0" w:space="0" w:color="auto"/>
        <w:right w:val="none" w:sz="0" w:space="0" w:color="auto"/>
      </w:divBdr>
    </w:div>
    <w:div w:id="1324554283">
      <w:bodyDiv w:val="1"/>
      <w:marLeft w:val="0"/>
      <w:marRight w:val="0"/>
      <w:marTop w:val="0"/>
      <w:marBottom w:val="0"/>
      <w:divBdr>
        <w:top w:val="none" w:sz="0" w:space="0" w:color="auto"/>
        <w:left w:val="none" w:sz="0" w:space="0" w:color="auto"/>
        <w:bottom w:val="none" w:sz="0" w:space="0" w:color="auto"/>
        <w:right w:val="none" w:sz="0" w:space="0" w:color="auto"/>
      </w:divBdr>
    </w:div>
    <w:div w:id="1356610425">
      <w:bodyDiv w:val="1"/>
      <w:marLeft w:val="0"/>
      <w:marRight w:val="0"/>
      <w:marTop w:val="0"/>
      <w:marBottom w:val="0"/>
      <w:divBdr>
        <w:top w:val="none" w:sz="0" w:space="0" w:color="auto"/>
        <w:left w:val="none" w:sz="0" w:space="0" w:color="auto"/>
        <w:bottom w:val="none" w:sz="0" w:space="0" w:color="auto"/>
        <w:right w:val="none" w:sz="0" w:space="0" w:color="auto"/>
      </w:divBdr>
    </w:div>
    <w:div w:id="1595168990">
      <w:bodyDiv w:val="1"/>
      <w:marLeft w:val="0"/>
      <w:marRight w:val="0"/>
      <w:marTop w:val="0"/>
      <w:marBottom w:val="0"/>
      <w:divBdr>
        <w:top w:val="none" w:sz="0" w:space="0" w:color="auto"/>
        <w:left w:val="none" w:sz="0" w:space="0" w:color="auto"/>
        <w:bottom w:val="none" w:sz="0" w:space="0" w:color="auto"/>
        <w:right w:val="none" w:sz="0" w:space="0" w:color="auto"/>
      </w:divBdr>
    </w:div>
    <w:div w:id="1605919962">
      <w:bodyDiv w:val="1"/>
      <w:marLeft w:val="0"/>
      <w:marRight w:val="0"/>
      <w:marTop w:val="0"/>
      <w:marBottom w:val="0"/>
      <w:divBdr>
        <w:top w:val="none" w:sz="0" w:space="0" w:color="auto"/>
        <w:left w:val="none" w:sz="0" w:space="0" w:color="auto"/>
        <w:bottom w:val="none" w:sz="0" w:space="0" w:color="auto"/>
        <w:right w:val="none" w:sz="0" w:space="0" w:color="auto"/>
      </w:divBdr>
    </w:div>
    <w:div w:id="1633558610">
      <w:bodyDiv w:val="1"/>
      <w:marLeft w:val="0"/>
      <w:marRight w:val="0"/>
      <w:marTop w:val="0"/>
      <w:marBottom w:val="0"/>
      <w:divBdr>
        <w:top w:val="none" w:sz="0" w:space="0" w:color="auto"/>
        <w:left w:val="none" w:sz="0" w:space="0" w:color="auto"/>
        <w:bottom w:val="none" w:sz="0" w:space="0" w:color="auto"/>
        <w:right w:val="none" w:sz="0" w:space="0" w:color="auto"/>
      </w:divBdr>
    </w:div>
    <w:div w:id="1793161011">
      <w:bodyDiv w:val="1"/>
      <w:marLeft w:val="0"/>
      <w:marRight w:val="0"/>
      <w:marTop w:val="0"/>
      <w:marBottom w:val="0"/>
      <w:divBdr>
        <w:top w:val="none" w:sz="0" w:space="0" w:color="auto"/>
        <w:left w:val="none" w:sz="0" w:space="0" w:color="auto"/>
        <w:bottom w:val="none" w:sz="0" w:space="0" w:color="auto"/>
        <w:right w:val="none" w:sz="0" w:space="0" w:color="auto"/>
      </w:divBdr>
    </w:div>
    <w:div w:id="1943873686">
      <w:bodyDiv w:val="1"/>
      <w:marLeft w:val="0"/>
      <w:marRight w:val="0"/>
      <w:marTop w:val="0"/>
      <w:marBottom w:val="0"/>
      <w:divBdr>
        <w:top w:val="none" w:sz="0" w:space="0" w:color="auto"/>
        <w:left w:val="none" w:sz="0" w:space="0" w:color="auto"/>
        <w:bottom w:val="none" w:sz="0" w:space="0" w:color="auto"/>
        <w:right w:val="none" w:sz="0" w:space="0" w:color="auto"/>
      </w:divBdr>
    </w:div>
    <w:div w:id="1945309681">
      <w:bodyDiv w:val="1"/>
      <w:marLeft w:val="0"/>
      <w:marRight w:val="0"/>
      <w:marTop w:val="0"/>
      <w:marBottom w:val="0"/>
      <w:divBdr>
        <w:top w:val="none" w:sz="0" w:space="0" w:color="auto"/>
        <w:left w:val="none" w:sz="0" w:space="0" w:color="auto"/>
        <w:bottom w:val="none" w:sz="0" w:space="0" w:color="auto"/>
        <w:right w:val="none" w:sz="0" w:space="0" w:color="auto"/>
      </w:divBdr>
    </w:div>
    <w:div w:id="1957979924">
      <w:bodyDiv w:val="1"/>
      <w:marLeft w:val="0"/>
      <w:marRight w:val="0"/>
      <w:marTop w:val="0"/>
      <w:marBottom w:val="0"/>
      <w:divBdr>
        <w:top w:val="none" w:sz="0" w:space="0" w:color="auto"/>
        <w:left w:val="none" w:sz="0" w:space="0" w:color="auto"/>
        <w:bottom w:val="none" w:sz="0" w:space="0" w:color="auto"/>
        <w:right w:val="none" w:sz="0" w:space="0" w:color="auto"/>
      </w:divBdr>
    </w:div>
    <w:div w:id="2005549182">
      <w:bodyDiv w:val="1"/>
      <w:marLeft w:val="0"/>
      <w:marRight w:val="0"/>
      <w:marTop w:val="0"/>
      <w:marBottom w:val="0"/>
      <w:divBdr>
        <w:top w:val="none" w:sz="0" w:space="0" w:color="auto"/>
        <w:left w:val="none" w:sz="0" w:space="0" w:color="auto"/>
        <w:bottom w:val="none" w:sz="0" w:space="0" w:color="auto"/>
        <w:right w:val="none" w:sz="0" w:space="0" w:color="auto"/>
      </w:divBdr>
    </w:div>
    <w:div w:id="200790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linedoctranslator.com/en/?utm_source=onlinedoctranslator&amp;utm_medium=doc&amp;utm_campaign=attrib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doctranslator.com/en/?utm_source=onlinedoctranslator&amp;utm_medium=doc&amp;utm_campaign=attribution" TargetMode="External"/><Relationship Id="rId5" Type="http://schemas.openxmlformats.org/officeDocument/2006/relationships/webSettings" Target="webSettings.xm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DOCREP/004/Y2732F/y2732f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2D32AA-8929-41DA-BF02-EC3F83A3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25</Pages>
  <Words>8091</Words>
  <Characters>44502</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diop</dc:creator>
  <cp:keywords/>
  <dc:description/>
  <cp:lastModifiedBy>hp</cp:lastModifiedBy>
  <cp:revision>72</cp:revision>
  <dcterms:created xsi:type="dcterms:W3CDTF">2023-07-29T06:19:00Z</dcterms:created>
  <dcterms:modified xsi:type="dcterms:W3CDTF">2025-08-25T15:10:00Z</dcterms:modified>
</cp:coreProperties>
</file>