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8ABA" w14:textId="1FB2B2E1" w:rsidR="007863B5" w:rsidRDefault="009B1CAE" w:rsidP="00D11BE4">
      <w:pPr>
        <w:pStyle w:val="Title"/>
        <w:spacing w:before="0" w:after="0"/>
        <w:ind w:left="0" w:right="0" w:firstLine="0"/>
        <w:rPr>
          <w:rFonts w:cs="Times New Roman"/>
          <w:caps w:val="0"/>
          <w:sz w:val="40"/>
          <w:szCs w:val="40"/>
          <w:lang w:val="cs-CZ"/>
        </w:rPr>
      </w:pPr>
      <w:r w:rsidRPr="009B1CAE">
        <w:rPr>
          <w:rFonts w:cs="Times New Roman"/>
          <w:caps w:val="0"/>
          <w:sz w:val="40"/>
          <w:szCs w:val="40"/>
          <w:lang w:val="en-GB"/>
        </w:rPr>
        <w:t>Rethinking Influence: Analysing NATO’s Role in Peace and Security Through an Emancipatory Lens</w:t>
      </w:r>
    </w:p>
    <w:p w14:paraId="5C79954D" w14:textId="77777777" w:rsidR="00D11BE4" w:rsidRDefault="00D11BE4" w:rsidP="00D11BE4">
      <w:pPr>
        <w:pStyle w:val="Title"/>
        <w:spacing w:before="0" w:after="0"/>
        <w:ind w:left="0" w:right="0" w:firstLine="0"/>
        <w:rPr>
          <w:rFonts w:cs="Times New Roman"/>
          <w:caps w:val="0"/>
          <w:sz w:val="40"/>
          <w:szCs w:val="40"/>
          <w:lang w:val="cs-CZ"/>
        </w:rPr>
      </w:pPr>
    </w:p>
    <w:p w14:paraId="27743038" w14:textId="0B05A2E9" w:rsidR="00D11BE4" w:rsidRDefault="009B1CAE" w:rsidP="00D11BE4">
      <w:pPr>
        <w:pStyle w:val="Title"/>
        <w:spacing w:before="0" w:after="0"/>
        <w:ind w:left="0" w:right="0" w:firstLine="0"/>
        <w:rPr>
          <w:rFonts w:cs="Times New Roman"/>
          <w:caps w:val="0"/>
          <w:sz w:val="22"/>
          <w:szCs w:val="22"/>
          <w:lang w:val="cs-CZ"/>
        </w:rPr>
      </w:pPr>
      <w:r w:rsidRPr="009B1CAE">
        <w:rPr>
          <w:rFonts w:cs="Times New Roman"/>
          <w:caps w:val="0"/>
          <w:sz w:val="22"/>
          <w:szCs w:val="22"/>
          <w:lang w:val="cs-CZ"/>
        </w:rPr>
        <w:t>Merve Gönlühoş Elmas</w:t>
      </w:r>
    </w:p>
    <w:p w14:paraId="32AD030F" w14:textId="0F6A4E81" w:rsidR="00995952" w:rsidRPr="00995952" w:rsidRDefault="009B1CAE" w:rsidP="00D11BE4">
      <w:pPr>
        <w:pStyle w:val="Title"/>
        <w:spacing w:before="0" w:after="0"/>
        <w:ind w:left="0" w:right="0" w:firstLine="0"/>
        <w:rPr>
          <w:rFonts w:cs="Times New Roman"/>
          <w:b w:val="0"/>
          <w:bCs/>
          <w:caps w:val="0"/>
          <w:sz w:val="20"/>
          <w:szCs w:val="20"/>
          <w:lang w:val="cs-CZ"/>
        </w:rPr>
      </w:pPr>
      <w:r w:rsidRPr="009B1CAE">
        <w:rPr>
          <w:rFonts w:cs="Times New Roman"/>
          <w:b w:val="0"/>
          <w:bCs/>
          <w:caps w:val="0"/>
          <w:sz w:val="20"/>
          <w:szCs w:val="20"/>
          <w:lang w:val="cs-CZ"/>
        </w:rPr>
        <w:t>PhD. Teaching Assistant, Necmettin Erbakan University, Rectorate, Konya, Türkiye</w:t>
      </w:r>
    </w:p>
    <w:p w14:paraId="340FC695" w14:textId="2F9C2858" w:rsidR="001524F1" w:rsidRPr="00D11BE4" w:rsidRDefault="00D11BE4" w:rsidP="000D6318">
      <w:pPr>
        <w:pStyle w:val="TTPKeywords"/>
        <w:ind w:firstLine="0"/>
        <w:rPr>
          <w:rFonts w:ascii="Times New Roman" w:hAnsi="Times New Roman"/>
          <w:b/>
          <w:sz w:val="28"/>
          <w:szCs w:val="28"/>
          <w:lang w:val="en-GB"/>
        </w:rPr>
      </w:pPr>
      <w:r w:rsidRPr="00D11BE4">
        <w:rPr>
          <w:rFonts w:ascii="Times New Roman" w:hAnsi="Times New Roman"/>
          <w:b/>
          <w:sz w:val="28"/>
          <w:szCs w:val="28"/>
          <w:lang w:val="en-GB"/>
        </w:rPr>
        <w:t>Abstract</w:t>
      </w:r>
    </w:p>
    <w:p w14:paraId="4AE32F5C" w14:textId="2A12A208" w:rsidR="004465F9" w:rsidRDefault="009B1CAE" w:rsidP="00D11BE4">
      <w:pPr>
        <w:pStyle w:val="NormalWeb"/>
        <w:spacing w:before="240" w:beforeAutospacing="0" w:after="240" w:afterAutospacing="0"/>
        <w:jc w:val="both"/>
      </w:pPr>
      <w:r w:rsidRPr="009B1CAE">
        <w:t xml:space="preserve">This paper </w:t>
      </w:r>
      <w:proofErr w:type="spellStart"/>
      <w:r w:rsidRPr="009B1CAE">
        <w:t>reconceptualises</w:t>
      </w:r>
      <w:proofErr w:type="spellEnd"/>
      <w:r w:rsidRPr="009B1CAE">
        <w:t xml:space="preserve"> “influence” within the discourse of international peace and security from a critical social science perspective, examining how it could be reshaped to foster an emancipatory result. Focusing on the Middle Eastern region, it considers NATO as a representative case, as it is a prominent actor in global peace and security. The paper argues that there exists a discrepancy between theoretical reality and practical reality within international </w:t>
      </w:r>
      <w:proofErr w:type="spellStart"/>
      <w:r w:rsidRPr="009B1CAE">
        <w:t>organisations</w:t>
      </w:r>
      <w:proofErr w:type="spellEnd"/>
      <w:r w:rsidRPr="009B1CAE">
        <w:t xml:space="preserve"> such as NATO, which undermines its potential to promote genuine peace and security. It posits that as long as this contradiction persists, these </w:t>
      </w:r>
      <w:proofErr w:type="spellStart"/>
      <w:proofErr w:type="gramStart"/>
      <w:r w:rsidRPr="009B1CAE">
        <w:t>organisations</w:t>
      </w:r>
      <w:proofErr w:type="spellEnd"/>
      <w:r w:rsidRPr="009B1CAE">
        <w:t xml:space="preserve"> ‘</w:t>
      </w:r>
      <w:proofErr w:type="gramEnd"/>
      <w:r w:rsidRPr="009B1CAE">
        <w:t xml:space="preserve">influence will remain constrained and fail to achieve emancipatory outcomes. Using a qualitative methodology grounded in emancipatory realism and informed by critical social science, this study investigates NATO‘s influence during the Gulf War, specifically in response to Saddam Hussein‘s invasion of Kuwait, as a case to support the argument provided. Through this lens, the paper demonstrates how critical perspectives can uncover and challenge hidden power dynamics, and it advocates for a rethinking of international influence that aligns more closely with the principles of emancipation. It aims </w:t>
      </w:r>
      <w:proofErr w:type="gramStart"/>
      <w:r w:rsidRPr="009B1CAE">
        <w:t>at offering</w:t>
      </w:r>
      <w:proofErr w:type="gramEnd"/>
      <w:r w:rsidRPr="009B1CAE">
        <w:t xml:space="preserve"> insights for scholars in all fields of social sciences taking the role of an organic intellectual as </w:t>
      </w:r>
      <w:proofErr w:type="spellStart"/>
      <w:r w:rsidRPr="009B1CAE">
        <w:t>conceptualised</w:t>
      </w:r>
      <w:proofErr w:type="spellEnd"/>
      <w:r w:rsidRPr="009B1CAE">
        <w:t xml:space="preserve"> by Antonio Gramsci.</w:t>
      </w:r>
    </w:p>
    <w:p w14:paraId="6B2459B5" w14:textId="19AECFC8" w:rsidR="007863B5" w:rsidRPr="003E1EF9" w:rsidRDefault="007863B5" w:rsidP="00CC7F0F">
      <w:pPr>
        <w:pStyle w:val="TTPKeywords"/>
        <w:spacing w:before="240"/>
        <w:ind w:firstLine="0"/>
        <w:rPr>
          <w:rFonts w:ascii="Times New Roman" w:hAnsi="Times New Roman"/>
          <w:b/>
          <w:i/>
          <w:sz w:val="24"/>
          <w:szCs w:val="24"/>
          <w:lang w:val="en-GB"/>
        </w:rPr>
      </w:pPr>
      <w:r w:rsidRPr="003E1EF9">
        <w:rPr>
          <w:rFonts w:ascii="Times New Roman" w:hAnsi="Times New Roman"/>
          <w:b/>
          <w:sz w:val="24"/>
          <w:szCs w:val="24"/>
          <w:lang w:val="en-GB"/>
        </w:rPr>
        <w:t>Keywords:</w:t>
      </w:r>
      <w:r w:rsidR="004360F1" w:rsidRPr="004360F1">
        <w:t xml:space="preserve"> </w:t>
      </w:r>
      <w:r w:rsidR="009B1CAE" w:rsidRPr="009B1CAE">
        <w:rPr>
          <w:rFonts w:ascii="Times New Roman" w:hAnsi="Times New Roman"/>
          <w:sz w:val="24"/>
          <w:szCs w:val="24"/>
          <w:lang w:val="en-GB"/>
        </w:rPr>
        <w:t>theoretical reality, practical reality, Iraq, Gulf War, Saddam Hussein</w:t>
      </w:r>
    </w:p>
    <w:p w14:paraId="1EDE7FD7" w14:textId="100282E4" w:rsidR="00D11BE4" w:rsidRPr="00542256" w:rsidRDefault="009B1CAE" w:rsidP="00D11BE4">
      <w:pPr>
        <w:pStyle w:val="Heading1"/>
        <w:tabs>
          <w:tab w:val="clear" w:pos="360"/>
          <w:tab w:val="num" w:pos="567"/>
        </w:tabs>
        <w:ind w:firstLine="0"/>
        <w:rPr>
          <w:sz w:val="24"/>
          <w:szCs w:val="24"/>
        </w:rPr>
      </w:pPr>
      <w:r w:rsidRPr="009B1CAE">
        <w:rPr>
          <w:sz w:val="24"/>
          <w:szCs w:val="24"/>
        </w:rPr>
        <w:t>Objective</w:t>
      </w:r>
    </w:p>
    <w:p w14:paraId="43D50BA7" w14:textId="77777777" w:rsidR="009B1CAE" w:rsidRPr="00D83514" w:rsidRDefault="009B1CAE" w:rsidP="009B1CAE">
      <w:pPr>
        <w:ind w:firstLine="0"/>
        <w:rPr>
          <w:rFonts w:eastAsia="SimSun"/>
          <w:szCs w:val="24"/>
          <w:lang w:val="en-GB" w:eastAsia="en-US"/>
        </w:rPr>
      </w:pPr>
      <w:r w:rsidRPr="00D83514">
        <w:rPr>
          <w:rFonts w:eastAsia="SimSun"/>
          <w:szCs w:val="24"/>
          <w:lang w:val="en-GB" w:eastAsia="en-US"/>
        </w:rPr>
        <w:t xml:space="preserve">The main objective of this research is to provide the academic world with a new conceptualisation of the term influence, leading to an emancipatory outcome. In a classical sense power and hegemony are treated as distinct and destructive concepts. However, this research argues that instead of viewing them as two single concepts, power and hegemony should be understood as two main subcomponents of influence. When applied constructively, they can be harnessed to create a positive and emancipatory influence. For instance, in the case of Iraq, instead of direct military intervention, NATO could have leveraged its influence to encourage the Iraqi government to support a poor nation, thereby fostering regional cooperation and mutual development. In this scenario, power and hegemony would serve as tools for positive and emancipatory influence rather than coercion. However, since NATO‘s influence in Iraq materialised through military intervention, it failed to achieve an emancipatory </w:t>
      </w:r>
      <w:r w:rsidRPr="00D83514">
        <w:rPr>
          <w:rFonts w:eastAsia="SimSun"/>
          <w:szCs w:val="24"/>
          <w:lang w:val="en-GB" w:eastAsia="en-US"/>
        </w:rPr>
        <w:lastRenderedPageBreak/>
        <w:t xml:space="preserve">outcome. This research argues that the MENA region offers numerous such cases, where NATO’s influence, if guided by a constructive application of power and hegemony could have resulted in a more emancipatory influence. This does not mean that the principles of NATO are problematic, on the contrary, if practical applications on the ground would align with the theoretical peace and security framework of the organisation, the result would look much more emancipatory. This again </w:t>
      </w:r>
      <w:proofErr w:type="gramStart"/>
      <w:r w:rsidRPr="00D83514">
        <w:rPr>
          <w:rFonts w:eastAsia="SimSun"/>
          <w:szCs w:val="24"/>
          <w:lang w:val="en-GB" w:eastAsia="en-US"/>
        </w:rPr>
        <w:t>is a reflection of</w:t>
      </w:r>
      <w:proofErr w:type="gramEnd"/>
      <w:r w:rsidRPr="00D83514">
        <w:rPr>
          <w:rFonts w:eastAsia="SimSun"/>
          <w:szCs w:val="24"/>
          <w:lang w:val="en-GB" w:eastAsia="en-US"/>
        </w:rPr>
        <w:t xml:space="preserve"> the need for organisations such as NATO, </w:t>
      </w:r>
      <w:proofErr w:type="gramStart"/>
      <w:r w:rsidRPr="00D83514">
        <w:rPr>
          <w:rFonts w:eastAsia="SimSun"/>
          <w:szCs w:val="24"/>
          <w:lang w:val="en-GB" w:eastAsia="en-US"/>
        </w:rPr>
        <w:t>as long as</w:t>
      </w:r>
      <w:proofErr w:type="gramEnd"/>
      <w:r w:rsidRPr="00D83514">
        <w:rPr>
          <w:rFonts w:eastAsia="SimSun"/>
          <w:szCs w:val="24"/>
          <w:lang w:val="en-GB" w:eastAsia="en-US"/>
        </w:rPr>
        <w:t xml:space="preserve"> its practical reality aligns with its theoretical reality. </w:t>
      </w:r>
    </w:p>
    <w:p w14:paraId="5F2CEA25" w14:textId="77777777" w:rsidR="009B1CAE" w:rsidRPr="00D83514" w:rsidRDefault="009B1CAE" w:rsidP="009B1CAE">
      <w:pPr>
        <w:pStyle w:val="Heading2"/>
        <w:rPr>
          <w:lang w:val="en-GB"/>
        </w:rPr>
      </w:pPr>
      <w:r w:rsidRPr="00D83514">
        <w:rPr>
          <w:lang w:val="en-GB"/>
        </w:rPr>
        <w:t>Methodology</w:t>
      </w:r>
    </w:p>
    <w:p w14:paraId="591F7D88" w14:textId="77777777" w:rsidR="009B1CAE" w:rsidRPr="00D83514" w:rsidRDefault="009B1CAE" w:rsidP="009B1CAE">
      <w:pPr>
        <w:ind w:firstLine="0"/>
        <w:rPr>
          <w:szCs w:val="24"/>
          <w:lang w:val="en-GB"/>
        </w:rPr>
      </w:pPr>
      <w:r w:rsidRPr="00D83514">
        <w:rPr>
          <w:szCs w:val="24"/>
          <w:lang w:val="en-GB"/>
        </w:rPr>
        <w:t xml:space="preserve">The research is grounded in a qualitative methodological framework employing the Historical Institutionalism and Critical Security Studies approach. This method enables the analysis of the concept of influence within the discourse of international peace and security. It allows for a nuanced understanding of how power and hegemony can be turned into an emancipatory influence. </w:t>
      </w:r>
    </w:p>
    <w:p w14:paraId="281FC06C" w14:textId="77777777" w:rsidR="009B1CAE" w:rsidRPr="00D83514" w:rsidRDefault="009B1CAE" w:rsidP="009B1CAE">
      <w:pPr>
        <w:pStyle w:val="Heading3"/>
        <w:numPr>
          <w:ilvl w:val="2"/>
          <w:numId w:val="2"/>
        </w:numPr>
        <w:ind w:left="0" w:firstLine="0"/>
        <w:rPr>
          <w:szCs w:val="24"/>
          <w:lang w:val="en-GB"/>
        </w:rPr>
      </w:pPr>
      <w:bookmarkStart w:id="0" w:name="_Hlk194582776"/>
      <w:r w:rsidRPr="00D83514">
        <w:rPr>
          <w:szCs w:val="24"/>
          <w:lang w:val="en-GB"/>
        </w:rPr>
        <w:t>Critical Security Approach</w:t>
      </w:r>
    </w:p>
    <w:bookmarkEnd w:id="0"/>
    <w:p w14:paraId="6525A5EE" w14:textId="77777777" w:rsidR="009B1CAE" w:rsidRPr="00D83514" w:rsidRDefault="009B1CAE" w:rsidP="009B1CAE">
      <w:pPr>
        <w:autoSpaceDE/>
        <w:autoSpaceDN/>
        <w:spacing w:before="100" w:beforeAutospacing="1" w:after="100" w:afterAutospacing="1"/>
        <w:ind w:firstLine="0"/>
        <w:rPr>
          <w:szCs w:val="24"/>
          <w:lang w:val="en-GB" w:eastAsia="en-GB"/>
        </w:rPr>
      </w:pPr>
      <w:proofErr w:type="gramStart"/>
      <w:r w:rsidRPr="00D83514">
        <w:rPr>
          <w:szCs w:val="24"/>
          <w:lang w:val="en-GB" w:eastAsia="en-GB"/>
        </w:rPr>
        <w:t>In order to</w:t>
      </w:r>
      <w:proofErr w:type="gramEnd"/>
      <w:r w:rsidRPr="00D83514">
        <w:rPr>
          <w:szCs w:val="24"/>
          <w:lang w:val="en-GB" w:eastAsia="en-GB"/>
        </w:rPr>
        <w:t xml:space="preserve"> interrogate the dominant narratives surrounding NATO’s interventions, the critical security studies (CSS) approach is a guiding theoretical framework. By applying to CSS, it is possible to advocate for a broader, people centred understanding that emphasises emancipation rather than a state-centric and military focused conceptualisation of security. This again enables to assess whether NATO’s influence with a certain degree of power and hegemony has been applied in ways that align with its theoretical principles of peace and security. Using CSS, this research critically examines NATO’s involvement in Iraq during the Gulf War, questioning the extent to which its influence was driven by hegemonic power structures rather than the pursuit of its own security framework theoretically leading to an emancipatory outcome. In this sense, the study by highlighting the contradictions between the theoretical reality (the organisation’s stated commitment to international peace and security) and the practical reality (its military interventions based on certain state interests), reflects the difficulty in reaching this emancipatory influence. </w:t>
      </w:r>
    </w:p>
    <w:p w14:paraId="705B8C3A" w14:textId="77777777" w:rsidR="009B1CAE" w:rsidRPr="00D83514" w:rsidRDefault="009B1CAE" w:rsidP="009B1CAE">
      <w:pPr>
        <w:pStyle w:val="Heading3"/>
        <w:numPr>
          <w:ilvl w:val="2"/>
          <w:numId w:val="74"/>
        </w:numPr>
        <w:ind w:left="360" w:hanging="360"/>
        <w:rPr>
          <w:szCs w:val="24"/>
          <w:lang w:val="en-GB"/>
        </w:rPr>
      </w:pPr>
      <w:r w:rsidRPr="00D83514">
        <w:rPr>
          <w:szCs w:val="24"/>
          <w:lang w:val="en-GB"/>
        </w:rPr>
        <w:t>Historical Institutionalism</w:t>
      </w:r>
    </w:p>
    <w:p w14:paraId="031F7513" w14:textId="77777777" w:rsidR="009B1CAE" w:rsidRPr="00D83514" w:rsidRDefault="009B1CAE" w:rsidP="009B1CAE">
      <w:pPr>
        <w:autoSpaceDE/>
        <w:autoSpaceDN/>
        <w:spacing w:before="100" w:beforeAutospacing="1" w:after="100" w:afterAutospacing="1"/>
        <w:ind w:firstLine="0"/>
        <w:rPr>
          <w:b/>
          <w:szCs w:val="24"/>
          <w:lang w:val="en-GB" w:eastAsia="en-US"/>
        </w:rPr>
      </w:pPr>
      <w:r w:rsidRPr="00D83514">
        <w:rPr>
          <w:szCs w:val="24"/>
          <w:lang w:val="en-GB" w:eastAsia="en-GB"/>
        </w:rPr>
        <w:t xml:space="preserve">Next to CSS this study also applies to the historical institutionalism to analyse how NATO’s institutional legacy and path-dependent decision-making processes have shaped its influence in global security affairs. In this regard, a historical approach enables the usage of archives by emphasising the role of historical structures, institutional norms, and long-term patterns in shaping political behaviour. By tracing NATO’s engagements in Iraq and the broader MENA region, this approach identifies the institutional constraints that prevent NATO from fully aligning its actions with its theoretical peace and security framework digging into archival documents. </w:t>
      </w:r>
      <w:r w:rsidRPr="00D83514">
        <w:rPr>
          <w:bCs/>
          <w:szCs w:val="24"/>
          <w:lang w:val="en-GB"/>
        </w:rPr>
        <w:t>As a matter of fact, the study is mainly based on a qualitative content analysis of primary and secondary sources including official NATO documents, reports and theoretical framework of its peace and security objectives; archival materials and historical records about the Gulf War; and of the academic literature.</w:t>
      </w:r>
      <w:r w:rsidRPr="00D83514">
        <w:rPr>
          <w:rStyle w:val="FootnoteReference"/>
          <w:bCs/>
          <w:szCs w:val="24"/>
          <w:lang w:val="en-GB"/>
        </w:rPr>
        <w:footnoteReference w:id="1"/>
      </w:r>
      <w:r w:rsidRPr="00D83514">
        <w:rPr>
          <w:bCs/>
          <w:szCs w:val="24"/>
          <w:lang w:val="en-GB"/>
        </w:rPr>
        <w:t xml:space="preserve"> Going through these documents, a case study </w:t>
      </w:r>
      <w:r w:rsidRPr="00D83514">
        <w:rPr>
          <w:bCs/>
          <w:szCs w:val="24"/>
          <w:lang w:val="en-GB"/>
        </w:rPr>
        <w:lastRenderedPageBreak/>
        <w:t xml:space="preserve">analysis of NATO’s actions to demonstrate the practical application of influence has been undertaken. </w:t>
      </w:r>
      <w:r w:rsidRPr="00D83514">
        <w:rPr>
          <w:bCs/>
          <w:szCs w:val="24"/>
          <w:lang w:val="en-GB" w:eastAsia="en-US"/>
        </w:rPr>
        <w:t>To ensure a critical and reflexive approach, this research positions itself within the tradition of emancipatory praxis. Following Antonio Gramsci’s concept of the organic intellectual, the study seeks to bridge academic analysis with real-world policy implications, advocating for a re</w:t>
      </w:r>
      <w:r w:rsidRPr="00D83514">
        <w:rPr>
          <w:bCs/>
          <w:szCs w:val="24"/>
          <w:lang w:val="en-GB"/>
        </w:rPr>
        <w:t>conceptualising</w:t>
      </w:r>
      <w:r w:rsidRPr="00D83514">
        <w:rPr>
          <w:bCs/>
          <w:szCs w:val="24"/>
          <w:lang w:val="en-GB" w:eastAsia="en-US"/>
        </w:rPr>
        <w:t xml:space="preserve"> of influence that aligns more closely with the principles of emancipation and human security</w:t>
      </w:r>
      <w:r w:rsidRPr="00D83514">
        <w:rPr>
          <w:bCs/>
          <w:szCs w:val="24"/>
          <w:lang w:val="en-GB"/>
        </w:rPr>
        <w:t xml:space="preserve"> of NATO’s theoretical framework</w:t>
      </w:r>
      <w:r w:rsidRPr="00D83514">
        <w:rPr>
          <w:bCs/>
          <w:szCs w:val="24"/>
          <w:lang w:val="en-GB" w:eastAsia="en-US"/>
        </w:rPr>
        <w:t xml:space="preserve">. With the combination of critical security studies and historical institutionalism this method offers an interdisciplinary analysis of the Gulf War questioning how power and hegemony could be turned into an emancipatory influence. </w:t>
      </w:r>
      <w:r w:rsidRPr="00D83514">
        <w:rPr>
          <w:szCs w:val="24"/>
          <w:lang w:val="en-GB"/>
        </w:rPr>
        <w:tab/>
      </w:r>
      <w:r w:rsidRPr="00D83514">
        <w:rPr>
          <w:szCs w:val="24"/>
          <w:lang w:val="en-GB"/>
        </w:rPr>
        <w:tab/>
      </w:r>
      <w:r w:rsidRPr="00D83514">
        <w:rPr>
          <w:szCs w:val="24"/>
          <w:lang w:val="en-GB"/>
        </w:rPr>
        <w:tab/>
      </w:r>
      <w:r w:rsidRPr="00D83514">
        <w:rPr>
          <w:szCs w:val="24"/>
          <w:lang w:val="en-GB"/>
        </w:rPr>
        <w:tab/>
        <w:t xml:space="preserve"> </w:t>
      </w:r>
    </w:p>
    <w:p w14:paraId="68DB11DF" w14:textId="77777777" w:rsidR="009B1CAE" w:rsidRPr="00D83514" w:rsidRDefault="009B1CAE" w:rsidP="009B1CAE">
      <w:pPr>
        <w:pStyle w:val="Heading1"/>
        <w:numPr>
          <w:ilvl w:val="0"/>
          <w:numId w:val="74"/>
        </w:numPr>
        <w:ind w:left="360" w:hanging="360"/>
        <w:rPr>
          <w:sz w:val="24"/>
          <w:szCs w:val="24"/>
          <w:lang w:val="en-GB"/>
        </w:rPr>
      </w:pPr>
      <w:r w:rsidRPr="00D83514">
        <w:rPr>
          <w:sz w:val="24"/>
          <w:szCs w:val="24"/>
          <w:lang w:val="en-GB"/>
        </w:rPr>
        <w:t>Findings</w:t>
      </w:r>
    </w:p>
    <w:p w14:paraId="36FBFC37" w14:textId="77777777" w:rsidR="009B1CAE" w:rsidRDefault="009B1CAE" w:rsidP="009B1CAE">
      <w:pPr>
        <w:ind w:firstLine="0"/>
        <w:rPr>
          <w:rtl/>
          <w:lang w:val="en-GB"/>
        </w:rPr>
      </w:pPr>
      <w:r>
        <w:rPr>
          <w:lang w:val="en-GB"/>
        </w:rPr>
        <w:t xml:space="preserve">On September 22, 1980, </w:t>
      </w:r>
      <w:r w:rsidRPr="0087479F">
        <w:rPr>
          <w:lang w:val="en-GB"/>
        </w:rPr>
        <w:t xml:space="preserve">Saddam Hussein invaded Iran </w:t>
      </w:r>
      <w:r>
        <w:rPr>
          <w:lang w:val="en-GB"/>
        </w:rPr>
        <w:t xml:space="preserve">without a UN mandate, </w:t>
      </w:r>
      <w:r w:rsidRPr="0087479F">
        <w:rPr>
          <w:lang w:val="en-GB"/>
        </w:rPr>
        <w:t xml:space="preserve">shortly after </w:t>
      </w:r>
      <w:proofErr w:type="spellStart"/>
      <w:r w:rsidRPr="0087479F">
        <w:rPr>
          <w:lang w:val="en-GB"/>
        </w:rPr>
        <w:t>Ajatollah</w:t>
      </w:r>
      <w:proofErr w:type="spellEnd"/>
      <w:r w:rsidRPr="0087479F">
        <w:rPr>
          <w:lang w:val="en-GB"/>
        </w:rPr>
        <w:t xml:space="preserve"> Ruhollah Khomeini came to power in 1979. This event marked the beginning of the Gulf War, fought between Iraq and Iran. The war quickly evolved into a conflict between Sunni Muslims and Shia Muslims. </w:t>
      </w:r>
      <w:r>
        <w:rPr>
          <w:u w:val="single"/>
          <w:lang w:val="en-GB"/>
        </w:rPr>
        <w:t>A</w:t>
      </w:r>
      <w:r w:rsidRPr="0087479F">
        <w:rPr>
          <w:lang w:val="en-GB"/>
        </w:rPr>
        <w:t xml:space="preserve">ccording to Mansur Khan, the </w:t>
      </w:r>
      <w:r>
        <w:rPr>
          <w:lang w:val="en-GB"/>
        </w:rPr>
        <w:t>US</w:t>
      </w:r>
      <w:r w:rsidRPr="0087479F">
        <w:rPr>
          <w:lang w:val="en-GB"/>
        </w:rPr>
        <w:t xml:space="preserve"> was the one that supported this conflict between Iran and Iraq </w:t>
      </w:r>
      <w:proofErr w:type="gramStart"/>
      <w:r w:rsidRPr="0087479F">
        <w:rPr>
          <w:lang w:val="en-GB"/>
        </w:rPr>
        <w:t>in order to</w:t>
      </w:r>
      <w:proofErr w:type="gramEnd"/>
      <w:r w:rsidRPr="0087479F">
        <w:rPr>
          <w:lang w:val="en-GB"/>
        </w:rPr>
        <w:t xml:space="preserve"> make it simpler to access natural resources in the Gulf region. </w:t>
      </w:r>
      <w:proofErr w:type="gramStart"/>
      <w:r w:rsidRPr="0087479F">
        <w:rPr>
          <w:lang w:val="en-GB"/>
        </w:rPr>
        <w:t>Despite the fact that</w:t>
      </w:r>
      <w:proofErr w:type="gramEnd"/>
      <w:r w:rsidRPr="0087479F">
        <w:rPr>
          <w:lang w:val="en-GB"/>
        </w:rPr>
        <w:t xml:space="preserve"> there is no evidence to support this argument, Khan contends that Zbigniew </w:t>
      </w:r>
      <w:proofErr w:type="spellStart"/>
      <w:r w:rsidRPr="0087479F">
        <w:rPr>
          <w:lang w:val="en-GB"/>
        </w:rPr>
        <w:t>Brezizinski</w:t>
      </w:r>
      <w:proofErr w:type="spellEnd"/>
      <w:r w:rsidRPr="0087479F">
        <w:rPr>
          <w:lang w:val="en-GB"/>
        </w:rPr>
        <w:t>, a security adviser for the U</w:t>
      </w:r>
      <w:r>
        <w:rPr>
          <w:lang w:val="en-GB"/>
        </w:rPr>
        <w:t>S</w:t>
      </w:r>
      <w:r w:rsidRPr="0087479F">
        <w:rPr>
          <w:lang w:val="en-GB"/>
        </w:rPr>
        <w:t xml:space="preserve">, encouraged Saddam to launch an assault against Iran (Khan, 1998). One thing that does not require any proof is the fact that the most significant reason for </w:t>
      </w:r>
      <w:proofErr w:type="gramStart"/>
      <w:r w:rsidRPr="0087479F">
        <w:rPr>
          <w:lang w:val="en-GB"/>
        </w:rPr>
        <w:t>all of</w:t>
      </w:r>
      <w:proofErr w:type="gramEnd"/>
      <w:r w:rsidRPr="0087479F">
        <w:rPr>
          <w:lang w:val="en-GB"/>
        </w:rPr>
        <w:t xml:space="preserve"> the wars that have occurred in the Gulf region is the presence of petroleum. </w:t>
      </w:r>
    </w:p>
    <w:p w14:paraId="48C07667" w14:textId="77777777" w:rsidR="009B1CAE" w:rsidRDefault="009B1CAE" w:rsidP="009B1CAE">
      <w:pPr>
        <w:ind w:firstLine="0"/>
        <w:rPr>
          <w:rtl/>
          <w:lang w:val="en-GB"/>
        </w:rPr>
      </w:pPr>
      <w:r w:rsidRPr="0087479F">
        <w:rPr>
          <w:lang w:val="en-GB"/>
        </w:rPr>
        <w:t>Therefore, it is not hard to comprehend why the United States Central Command</w:t>
      </w:r>
      <w:r>
        <w:rPr>
          <w:lang w:val="en-GB"/>
        </w:rPr>
        <w:t xml:space="preserve"> (CENTCOM)</w:t>
      </w:r>
      <w:r w:rsidRPr="0087479F">
        <w:rPr>
          <w:lang w:val="en-GB"/>
        </w:rPr>
        <w:t xml:space="preserve">, which is </w:t>
      </w:r>
      <w:r>
        <w:rPr>
          <w:lang w:val="en-GB"/>
        </w:rPr>
        <w:t xml:space="preserve">at the same time also </w:t>
      </w:r>
      <w:r w:rsidRPr="0087479F">
        <w:rPr>
          <w:lang w:val="en-GB"/>
        </w:rPr>
        <w:t xml:space="preserve">the central command of </w:t>
      </w:r>
      <w:r>
        <w:rPr>
          <w:lang w:val="en-GB"/>
        </w:rPr>
        <w:t>NATO</w:t>
      </w:r>
      <w:r w:rsidRPr="0087479F">
        <w:rPr>
          <w:lang w:val="en-GB"/>
        </w:rPr>
        <w:t xml:space="preserve">, is situated in this region (Ganser, 2020). </w:t>
      </w:r>
      <w:r>
        <w:rPr>
          <w:lang w:val="en-GB"/>
        </w:rPr>
        <w:t xml:space="preserve">As a </w:t>
      </w:r>
      <w:proofErr w:type="gramStart"/>
      <w:r>
        <w:rPr>
          <w:lang w:val="en-GB"/>
        </w:rPr>
        <w:t>result</w:t>
      </w:r>
      <w:proofErr w:type="gramEnd"/>
      <w:r>
        <w:rPr>
          <w:lang w:val="en-GB"/>
        </w:rPr>
        <w:t xml:space="preserve"> b</w:t>
      </w:r>
      <w:r w:rsidRPr="0087479F">
        <w:rPr>
          <w:lang w:val="en-GB"/>
        </w:rPr>
        <w:t>oth</w:t>
      </w:r>
      <w:r>
        <w:rPr>
          <w:lang w:val="en-GB"/>
        </w:rPr>
        <w:t>,</w:t>
      </w:r>
      <w:r w:rsidRPr="0087479F">
        <w:rPr>
          <w:lang w:val="en-GB"/>
        </w:rPr>
        <w:t xml:space="preserve"> Iraq and Iran, the most major petroleum importing powers, fell into a condition of serious instability </w:t>
      </w:r>
      <w:r>
        <w:rPr>
          <w:lang w:val="en-GB"/>
        </w:rPr>
        <w:t>due to the</w:t>
      </w:r>
      <w:r w:rsidRPr="0087479F">
        <w:rPr>
          <w:lang w:val="en-GB"/>
        </w:rPr>
        <w:t xml:space="preserve"> first Gulf War, fought between the two countries. Following the grounding of the </w:t>
      </w:r>
      <w:r>
        <w:rPr>
          <w:lang w:val="en-GB"/>
        </w:rPr>
        <w:t>US</w:t>
      </w:r>
      <w:r w:rsidRPr="0087479F">
        <w:rPr>
          <w:lang w:val="en-GB"/>
        </w:rPr>
        <w:t xml:space="preserve"> battleship USS Samuel Roberts on an Iranian naval mine,</w:t>
      </w:r>
      <w:r>
        <w:rPr>
          <w:lang w:val="en-GB"/>
        </w:rPr>
        <w:t xml:space="preserve"> the US (leading power within NATO)</w:t>
      </w:r>
      <w:r w:rsidRPr="0087479F">
        <w:rPr>
          <w:lang w:val="en-GB"/>
        </w:rPr>
        <w:t xml:space="preserve"> became an active and public participant in this conflict. Barry (1992)</w:t>
      </w:r>
      <w:r>
        <w:rPr>
          <w:lang w:val="en-GB"/>
        </w:rPr>
        <w:t xml:space="preserve"> argues that</w:t>
      </w:r>
      <w:r w:rsidRPr="0087479F">
        <w:rPr>
          <w:lang w:val="en-GB"/>
        </w:rPr>
        <w:t xml:space="preserve">, on April 18, 1988, the </w:t>
      </w:r>
      <w:r>
        <w:rPr>
          <w:lang w:val="en-GB"/>
        </w:rPr>
        <w:t>US</w:t>
      </w:r>
      <w:r w:rsidRPr="0087479F">
        <w:rPr>
          <w:lang w:val="en-GB"/>
        </w:rPr>
        <w:t xml:space="preserve"> launched an attack against Iranian ships and destroyed Iranian oil drilling platforms. In the same year, on July 3rd, the American warship USS Vincennes was responsible for the destruction of the civilian Iranian aircraft Iran Air 655</w:t>
      </w:r>
      <w:r>
        <w:rPr>
          <w:lang w:val="en-GB"/>
        </w:rPr>
        <w:t xml:space="preserve"> (</w:t>
      </w:r>
      <w:r w:rsidRPr="00053EAF">
        <w:rPr>
          <w:szCs w:val="24"/>
          <w:lang w:eastAsia="de-DE"/>
        </w:rPr>
        <w:t>Gouasmia,</w:t>
      </w:r>
      <w:r>
        <w:rPr>
          <w:szCs w:val="24"/>
          <w:lang w:eastAsia="de-DE"/>
        </w:rPr>
        <w:t xml:space="preserve"> 2024)</w:t>
      </w:r>
      <w:r w:rsidRPr="0087479F">
        <w:rPr>
          <w:lang w:val="en-GB"/>
        </w:rPr>
        <w:t xml:space="preserve">. Every civilian was killed. Iran finally declared its preparedness for the ceasefire to the </w:t>
      </w:r>
      <w:r>
        <w:rPr>
          <w:lang w:val="en-GB"/>
        </w:rPr>
        <w:t>UNSC</w:t>
      </w:r>
      <w:r w:rsidRPr="0087479F">
        <w:rPr>
          <w:lang w:val="en-GB"/>
        </w:rPr>
        <w:t xml:space="preserve"> on August 20, 1988 (Yergin, 1991). </w:t>
      </w:r>
    </w:p>
    <w:p w14:paraId="347FA435" w14:textId="7C078D30" w:rsidR="009B1CAE" w:rsidRDefault="009B1CAE" w:rsidP="009B1CAE">
      <w:pPr>
        <w:ind w:firstLine="0"/>
        <w:rPr>
          <w:rtl/>
          <w:lang w:val="en-GB"/>
        </w:rPr>
      </w:pPr>
      <w:r w:rsidRPr="0087479F">
        <w:rPr>
          <w:lang w:val="en-GB"/>
        </w:rPr>
        <w:t xml:space="preserve">This declaration was not official, but it was prompted by the support that the </w:t>
      </w:r>
      <w:r>
        <w:rPr>
          <w:lang w:val="en-GB"/>
        </w:rPr>
        <w:t>US</w:t>
      </w:r>
      <w:r w:rsidRPr="0087479F">
        <w:rPr>
          <w:lang w:val="en-GB"/>
        </w:rPr>
        <w:t xml:space="preserve"> provided to Iraq. </w:t>
      </w:r>
      <w:r>
        <w:rPr>
          <w:lang w:val="en-GB"/>
        </w:rPr>
        <w:t xml:space="preserve"> </w:t>
      </w:r>
      <w:r w:rsidRPr="0087479F">
        <w:rPr>
          <w:lang w:val="en-GB"/>
        </w:rPr>
        <w:t>Merely two years after the inaugural Gulf War, during George H.W. Bush</w:t>
      </w:r>
      <w:r w:rsidRPr="00035706">
        <w:rPr>
          <w:lang w:val="en-GB"/>
        </w:rPr>
        <w:t>’</w:t>
      </w:r>
      <w:r w:rsidRPr="0087479F">
        <w:rPr>
          <w:lang w:val="en-GB"/>
        </w:rPr>
        <w:t>s presidency, the second Gulf War ensued. On August</w:t>
      </w:r>
      <w:r>
        <w:rPr>
          <w:lang w:val="en-GB"/>
        </w:rPr>
        <w:t xml:space="preserve"> 2,</w:t>
      </w:r>
      <w:r w:rsidRPr="0087479F">
        <w:rPr>
          <w:lang w:val="en-GB"/>
        </w:rPr>
        <w:t xml:space="preserve"> 1990, Iraq launched an assault on its neighbouring country, Kuwait, without a </w:t>
      </w:r>
      <w:r>
        <w:rPr>
          <w:lang w:val="en-GB"/>
        </w:rPr>
        <w:t xml:space="preserve">UN </w:t>
      </w:r>
      <w:r w:rsidRPr="0087479F">
        <w:rPr>
          <w:lang w:val="en-GB"/>
        </w:rPr>
        <w:t>mandate (Bush &amp; Scowcroft, 1998). Prior to the war</w:t>
      </w:r>
      <w:r w:rsidRPr="00035706">
        <w:rPr>
          <w:lang w:val="en-GB"/>
        </w:rPr>
        <w:t>’</w:t>
      </w:r>
      <w:r w:rsidRPr="0087479F">
        <w:rPr>
          <w:lang w:val="en-GB"/>
        </w:rPr>
        <w:t>s onset, the Iraqi president expressed grievances with Kuwait and the United Arab Emirates</w:t>
      </w:r>
      <w:r w:rsidRPr="00035706">
        <w:rPr>
          <w:lang w:val="en-GB"/>
        </w:rPr>
        <w:t>’</w:t>
      </w:r>
      <w:r w:rsidRPr="0087479F">
        <w:rPr>
          <w:lang w:val="en-GB"/>
        </w:rPr>
        <w:t xml:space="preserve"> noncompliance with OPEC output restrictions, resulting in substantial financial losses for Iraq. Kuwait would also extract oil from Iraqi fields directly beneath the national boundary. The Second Gulf War resulted, for the first time in history, in a substantial deployment of American and European forces in the Muslim nations of the Persian </w:t>
      </w:r>
      <w:r w:rsidRPr="006C1C1C">
        <w:rPr>
          <w:lang w:val="en-GB"/>
        </w:rPr>
        <w:t>Gulf (</w:t>
      </w:r>
      <w:r w:rsidRPr="006C1C1C">
        <w:rPr>
          <w:szCs w:val="24"/>
          <w:lang w:eastAsia="de-DE"/>
        </w:rPr>
        <w:t>Gouasmia</w:t>
      </w:r>
      <w:r>
        <w:rPr>
          <w:szCs w:val="24"/>
          <w:lang w:eastAsia="de-DE"/>
        </w:rPr>
        <w:t>, 2024)</w:t>
      </w:r>
      <w:r w:rsidRPr="0087479F">
        <w:rPr>
          <w:lang w:val="en-GB"/>
        </w:rPr>
        <w:t xml:space="preserve">. On July 25, 1990, just prior to his invasion of Kuwait, President Hussein convened American Ambassador April Glaspie at the government palace. American writer Larry Everest, who has extensively toured the region and obtained the transcript of the meeting, reported that Hussein acknowledged </w:t>
      </w:r>
      <w:proofErr w:type="spellStart"/>
      <w:r w:rsidRPr="0087479F">
        <w:rPr>
          <w:lang w:val="en-GB"/>
        </w:rPr>
        <w:t>the</w:t>
      </w:r>
      <w:r>
        <w:rPr>
          <w:lang w:val="en-GB"/>
        </w:rPr>
        <w:t>US</w:t>
      </w:r>
      <w:proofErr w:type="spellEnd"/>
      <w:r w:rsidRPr="00035706">
        <w:rPr>
          <w:lang w:val="en-GB"/>
        </w:rPr>
        <w:t>’</w:t>
      </w:r>
      <w:r w:rsidRPr="0087479F">
        <w:rPr>
          <w:lang w:val="en-GB"/>
        </w:rPr>
        <w:t xml:space="preserve"> reliance on the continuous supply of oil. It was, however, intolerable that Kuwait was intentionally maintaining cheap oil prices while encroaching on Iraq</w:t>
      </w:r>
      <w:r w:rsidRPr="00035706">
        <w:rPr>
          <w:lang w:val="en-GB"/>
        </w:rPr>
        <w:t>’</w:t>
      </w:r>
      <w:r w:rsidRPr="0087479F">
        <w:rPr>
          <w:lang w:val="en-GB"/>
        </w:rPr>
        <w:t xml:space="preserve">s land. Hussein cautioned that if this persisted, Iraq would possess the right to self-defence. Ambassador Glaspie stated, </w:t>
      </w:r>
      <w:r>
        <w:rPr>
          <w:lang w:val="en-GB"/>
        </w:rPr>
        <w:t>“</w:t>
      </w:r>
      <w:r w:rsidRPr="0087479F">
        <w:rPr>
          <w:lang w:val="en-GB"/>
        </w:rPr>
        <w:t xml:space="preserve">I have received a direct mandate from President Bush to enhance </w:t>
      </w:r>
      <w:r w:rsidRPr="0087479F">
        <w:rPr>
          <w:lang w:val="en-GB"/>
        </w:rPr>
        <w:lastRenderedPageBreak/>
        <w:t>relations with Iraq</w:t>
      </w:r>
      <w:r>
        <w:rPr>
          <w:lang w:val="en-GB"/>
        </w:rPr>
        <w:t>,</w:t>
      </w:r>
      <w:r w:rsidRPr="0087479F">
        <w:rPr>
          <w:lang w:val="en-GB"/>
        </w:rPr>
        <w:t xml:space="preserve"> </w:t>
      </w:r>
      <w:r>
        <w:rPr>
          <w:lang w:val="en-GB"/>
        </w:rPr>
        <w:t>w</w:t>
      </w:r>
      <w:r w:rsidRPr="0087479F">
        <w:rPr>
          <w:lang w:val="en-GB"/>
        </w:rPr>
        <w:t>e hold no stance on the intra-Arab issues</w:t>
      </w:r>
      <w:r>
        <w:rPr>
          <w:lang w:val="en-GB"/>
        </w:rPr>
        <w:t>.”</w:t>
      </w:r>
      <w:r w:rsidRPr="0087479F">
        <w:rPr>
          <w:lang w:val="en-GB"/>
        </w:rPr>
        <w:t xml:space="preserve"> (Bush &amp; Scowcroft). Many academics view this as a tacit approval for Saddam Hussein; nevertheless, Bush later asserts that this explanation misrepresents the dialogue between Glaspie and Hussein. President Bush ultimately characterised the invasion of Iraq into Kuwait as an unlawful action in accordance with the UN Charter. On August 2, the UN</w:t>
      </w:r>
      <w:r>
        <w:rPr>
          <w:lang w:val="en-GB"/>
        </w:rPr>
        <w:t xml:space="preserve">SC </w:t>
      </w:r>
      <w:r w:rsidRPr="0087479F">
        <w:rPr>
          <w:lang w:val="en-GB"/>
        </w:rPr>
        <w:t xml:space="preserve">promptly responded to the invasion by adopting Resolution 660, at the behest of the </w:t>
      </w:r>
      <w:r>
        <w:rPr>
          <w:lang w:val="en-GB"/>
        </w:rPr>
        <w:t>US</w:t>
      </w:r>
      <w:r w:rsidRPr="0087479F">
        <w:rPr>
          <w:lang w:val="en-GB"/>
        </w:rPr>
        <w:t xml:space="preserve"> and with the backing of NATO allies the UK and France, demanding Iraq</w:t>
      </w:r>
      <w:r w:rsidRPr="00035706">
        <w:rPr>
          <w:lang w:val="en-GB"/>
        </w:rPr>
        <w:t>’</w:t>
      </w:r>
      <w:r w:rsidRPr="0087479F">
        <w:rPr>
          <w:lang w:val="en-GB"/>
        </w:rPr>
        <w:t xml:space="preserve">s immediate and unconditional withdrawal from Kuwait. China and Russia refrained from vetoing it, so the resolution became legally obligatory. </w:t>
      </w:r>
    </w:p>
    <w:p w14:paraId="5490D57B" w14:textId="77777777" w:rsidR="009B1CAE" w:rsidRDefault="009B1CAE" w:rsidP="009B1CAE">
      <w:pPr>
        <w:ind w:firstLine="0"/>
        <w:rPr>
          <w:rtl/>
          <w:lang w:val="en-GB"/>
        </w:rPr>
      </w:pPr>
      <w:r w:rsidRPr="0087479F">
        <w:rPr>
          <w:lang w:val="en-GB"/>
        </w:rPr>
        <w:t xml:space="preserve">The </w:t>
      </w:r>
      <w:r>
        <w:rPr>
          <w:lang w:val="en-GB"/>
        </w:rPr>
        <w:t>UN</w:t>
      </w:r>
      <w:r w:rsidRPr="0087479F">
        <w:rPr>
          <w:lang w:val="en-GB"/>
        </w:rPr>
        <w:t xml:space="preserve"> granted Iraq until January 15, 1991, to withdraw from Kuwait. The prompt and resolute action taken by the UN</w:t>
      </w:r>
      <w:r>
        <w:rPr>
          <w:lang w:val="en-GB"/>
        </w:rPr>
        <w:t xml:space="preserve">SC </w:t>
      </w:r>
      <w:r w:rsidRPr="0087479F">
        <w:rPr>
          <w:lang w:val="en-GB"/>
        </w:rPr>
        <w:t>was appropriate and aligned with the UN Charter. The UN</w:t>
      </w:r>
      <w:r>
        <w:rPr>
          <w:lang w:val="en-GB"/>
        </w:rPr>
        <w:t xml:space="preserve">SC </w:t>
      </w:r>
      <w:r w:rsidRPr="0087479F">
        <w:rPr>
          <w:lang w:val="en-GB"/>
        </w:rPr>
        <w:t>must respond with equal swiftness, clarity, and decisiveness to any act of aggression. Nevertheless, when NATO nations initiate an assault, the Security Council is impeded by the vetoes of the three NATO members, as historical evidence indicates. Upon the expiration of the ultimatum, and in the absence of Saddam Hussein</w:t>
      </w:r>
      <w:r w:rsidRPr="00035706">
        <w:rPr>
          <w:lang w:val="en-GB"/>
        </w:rPr>
        <w:t>’</w:t>
      </w:r>
      <w:r w:rsidRPr="0087479F">
        <w:rPr>
          <w:lang w:val="en-GB"/>
        </w:rPr>
        <w:t xml:space="preserve">s withdrawal of troops from Kuwait, hostilities resumed. On January 17, 1991, the </w:t>
      </w:r>
      <w:r>
        <w:rPr>
          <w:lang w:val="en-GB"/>
        </w:rPr>
        <w:t>US</w:t>
      </w:r>
      <w:r w:rsidRPr="0087479F">
        <w:rPr>
          <w:lang w:val="en-GB"/>
        </w:rPr>
        <w:t xml:space="preserve"> and its allies commenced extensive aerial bombardments on Kuwait and Iraq as part of Operation Desert Storm</w:t>
      </w:r>
      <w:r>
        <w:rPr>
          <w:lang w:val="en-GB"/>
        </w:rPr>
        <w:t xml:space="preserve"> (</w:t>
      </w:r>
      <w:r w:rsidRPr="007C3062">
        <w:rPr>
          <w:szCs w:val="24"/>
          <w:lang w:eastAsia="de-DE"/>
        </w:rPr>
        <w:t>G</w:t>
      </w:r>
      <w:r>
        <w:rPr>
          <w:szCs w:val="24"/>
          <w:lang w:eastAsia="de-DE"/>
        </w:rPr>
        <w:t>ülbay, 2022)</w:t>
      </w:r>
      <w:r w:rsidRPr="0087479F">
        <w:rPr>
          <w:lang w:val="en-GB"/>
        </w:rPr>
        <w:t xml:space="preserve">. </w:t>
      </w:r>
    </w:p>
    <w:p w14:paraId="59CFB836" w14:textId="77777777" w:rsidR="009B1CAE" w:rsidRDefault="009B1CAE" w:rsidP="009B1CAE">
      <w:pPr>
        <w:ind w:firstLine="0"/>
        <w:rPr>
          <w:rtl/>
          <w:lang w:val="en-GB"/>
        </w:rPr>
      </w:pPr>
      <w:r w:rsidRPr="0087479F">
        <w:rPr>
          <w:lang w:val="en-GB"/>
        </w:rPr>
        <w:t xml:space="preserve">Saddam Hussein </w:t>
      </w:r>
      <w:r>
        <w:rPr>
          <w:lang w:val="en-GB"/>
        </w:rPr>
        <w:t>on the other side, had</w:t>
      </w:r>
      <w:r w:rsidRPr="0087479F">
        <w:rPr>
          <w:lang w:val="en-GB"/>
        </w:rPr>
        <w:t xml:space="preserve"> minimal resources to contend with the superior troops of his adversaries. On February 24, 1991, coalition ground forces based in Saudi Arabia invaded Kuwait and Iraq, and within four days</w:t>
      </w:r>
      <w:r>
        <w:rPr>
          <w:lang w:val="en-GB"/>
        </w:rPr>
        <w:t xml:space="preserve"> </w:t>
      </w:r>
      <w:r w:rsidRPr="0087479F">
        <w:rPr>
          <w:lang w:val="en-GB"/>
        </w:rPr>
        <w:t>secur</w:t>
      </w:r>
      <w:r>
        <w:rPr>
          <w:lang w:val="en-GB"/>
        </w:rPr>
        <w:t>ing</w:t>
      </w:r>
      <w:r w:rsidRPr="0087479F">
        <w:rPr>
          <w:lang w:val="en-GB"/>
        </w:rPr>
        <w:t xml:space="preserve"> control of Kuwait City (Clark, 1992). The Iraqi army departed Kuwait, igniting the Kuwaiti oil fields in their withdrawal. NATO nations incurred the loss of 313 soldiers: 266 Americans, 44 British, two French, and one Italian. On April 3, 1991, President Bush proclaimed Kuwait</w:t>
      </w:r>
      <w:r w:rsidRPr="00035706">
        <w:rPr>
          <w:lang w:val="en-GB"/>
        </w:rPr>
        <w:t>’</w:t>
      </w:r>
      <w:r w:rsidRPr="0087479F">
        <w:rPr>
          <w:lang w:val="en-GB"/>
        </w:rPr>
        <w:t>s liberation and the conclusion of the war (Curtis, 2008).</w:t>
      </w:r>
      <w:r>
        <w:rPr>
          <w:lang w:val="en-GB"/>
        </w:rPr>
        <w:t xml:space="preserve"> </w:t>
      </w:r>
    </w:p>
    <w:p w14:paraId="34F3993A" w14:textId="77777777" w:rsidR="009B1CAE" w:rsidRDefault="009B1CAE" w:rsidP="009B1CAE">
      <w:pPr>
        <w:ind w:firstLine="0"/>
        <w:rPr>
          <w:rtl/>
          <w:lang w:val="en-GB"/>
        </w:rPr>
      </w:pPr>
      <w:r w:rsidRPr="0087479F">
        <w:rPr>
          <w:lang w:val="en-GB"/>
        </w:rPr>
        <w:t xml:space="preserve">Following the second Gulf War, Saddam Hussein maintained his authority in Iraq. This development prompted the </w:t>
      </w:r>
      <w:r>
        <w:rPr>
          <w:lang w:val="en-GB"/>
        </w:rPr>
        <w:t>US</w:t>
      </w:r>
      <w:r w:rsidRPr="0087479F">
        <w:rPr>
          <w:lang w:val="en-GB"/>
        </w:rPr>
        <w:t xml:space="preserve">, with the backing of the </w:t>
      </w:r>
      <w:r>
        <w:rPr>
          <w:lang w:val="en-GB"/>
        </w:rPr>
        <w:t>UNSC</w:t>
      </w:r>
      <w:r w:rsidRPr="0087479F">
        <w:rPr>
          <w:lang w:val="en-GB"/>
        </w:rPr>
        <w:t>, to implement an embargo on Iraq (</w:t>
      </w:r>
      <w:proofErr w:type="spellStart"/>
      <w:r w:rsidRPr="0087479F">
        <w:rPr>
          <w:lang w:val="en-GB"/>
        </w:rPr>
        <w:t>Fürtig</w:t>
      </w:r>
      <w:proofErr w:type="spellEnd"/>
      <w:r w:rsidRPr="0087479F">
        <w:rPr>
          <w:lang w:val="en-GB"/>
        </w:rPr>
        <w:t xml:space="preserve">, 2003). Not only was the export of petroleum prohibited, but also all forms of food and medication. Approximately 500,000 civilians perished </w:t>
      </w:r>
      <w:proofErr w:type="gramStart"/>
      <w:r w:rsidRPr="0087479F">
        <w:rPr>
          <w:lang w:val="en-GB"/>
        </w:rPr>
        <w:t>as a result of</w:t>
      </w:r>
      <w:proofErr w:type="gramEnd"/>
      <w:r w:rsidRPr="0087479F">
        <w:rPr>
          <w:lang w:val="en-GB"/>
        </w:rPr>
        <w:t xml:space="preserve"> this embargo. Iraq endured not just the embargo but also lacked sufficient aerial technology to defend itself against assaults from NATO countries. On December 16, 1998, U</w:t>
      </w:r>
      <w:r>
        <w:rPr>
          <w:lang w:val="en-GB"/>
        </w:rPr>
        <w:t xml:space="preserve">S </w:t>
      </w:r>
      <w:r w:rsidRPr="0087479F">
        <w:rPr>
          <w:lang w:val="en-GB"/>
        </w:rPr>
        <w:t>President Bill Clinton and British Prime Minister Tony Blair resolved to bomb Iraq for four days under the designation Operation Desert Fox,</w:t>
      </w:r>
      <w:r>
        <w:rPr>
          <w:lang w:val="en-GB"/>
        </w:rPr>
        <w:t xml:space="preserve"> however, without UN mandate</w:t>
      </w:r>
      <w:r w:rsidRPr="0087479F">
        <w:rPr>
          <w:lang w:val="en-GB"/>
        </w:rPr>
        <w:t xml:space="preserve">. The justification provided was that the US and UK were compelled to destroy Iraq due to its failure to disarm as mandated by the </w:t>
      </w:r>
      <w:r w:rsidRPr="007C67BD">
        <w:rPr>
          <w:lang w:val="en-GB"/>
        </w:rPr>
        <w:t>UN</w:t>
      </w:r>
      <w:r>
        <w:rPr>
          <w:lang w:val="en-GB"/>
        </w:rPr>
        <w:t xml:space="preserve"> (Colombo, 2024)</w:t>
      </w:r>
      <w:r w:rsidRPr="0087479F">
        <w:rPr>
          <w:lang w:val="en-GB"/>
        </w:rPr>
        <w:t xml:space="preserve">. This audacious assertion was articulated by Australian ambassador Richard Butler. Butler led the </w:t>
      </w:r>
      <w:r>
        <w:rPr>
          <w:lang w:val="en-GB"/>
        </w:rPr>
        <w:t>UNSC’s</w:t>
      </w:r>
      <w:r w:rsidRPr="0087479F">
        <w:rPr>
          <w:lang w:val="en-GB"/>
        </w:rPr>
        <w:t xml:space="preserve"> special commission </w:t>
      </w:r>
      <w:r>
        <w:rPr>
          <w:lang w:val="en-GB"/>
        </w:rPr>
        <w:t xml:space="preserve">on Iraq (UNSCOM), </w:t>
      </w:r>
      <w:r w:rsidRPr="0087479F">
        <w:rPr>
          <w:lang w:val="en-GB"/>
        </w:rPr>
        <w:t>responsible for supervising the eradication of all chemical and biological weapons and missiles</w:t>
      </w:r>
      <w:r>
        <w:rPr>
          <w:lang w:val="en-GB"/>
        </w:rPr>
        <w:t>,</w:t>
      </w:r>
      <w:r w:rsidRPr="0087479F">
        <w:rPr>
          <w:lang w:val="en-GB"/>
        </w:rPr>
        <w:t xml:space="preserve"> in Iraq. </w:t>
      </w:r>
      <w:r>
        <w:rPr>
          <w:lang w:val="en-GB"/>
        </w:rPr>
        <w:t>He</w:t>
      </w:r>
      <w:r w:rsidRPr="0087479F">
        <w:rPr>
          <w:lang w:val="en-GB"/>
        </w:rPr>
        <w:t xml:space="preserve"> alleged that Iraq was clandestinely constructing weapons of mass de</w:t>
      </w:r>
      <w:r>
        <w:rPr>
          <w:lang w:val="en-GB"/>
        </w:rPr>
        <w:t>struction</w:t>
      </w:r>
      <w:r w:rsidRPr="0087479F">
        <w:rPr>
          <w:lang w:val="en-GB"/>
        </w:rPr>
        <w:t xml:space="preserve"> and concealing them from UNSCOM. Nonetheless, Butler declined to produce a final report, which was necessary for the cessation of the UN sanctions.</w:t>
      </w:r>
      <w:r>
        <w:rPr>
          <w:lang w:val="en-GB"/>
        </w:rPr>
        <w:t xml:space="preserve"> </w:t>
      </w:r>
    </w:p>
    <w:p w14:paraId="69BCCB8E" w14:textId="10DACCE8" w:rsidR="009B1CAE" w:rsidRDefault="009B1CAE" w:rsidP="009B1CAE">
      <w:pPr>
        <w:ind w:firstLine="0"/>
        <w:rPr>
          <w:rtl/>
          <w:lang w:val="en-GB"/>
        </w:rPr>
      </w:pPr>
      <w:r>
        <w:rPr>
          <w:lang w:val="en-GB"/>
        </w:rPr>
        <w:t>Finally,</w:t>
      </w:r>
      <w:r w:rsidRPr="0087479F">
        <w:rPr>
          <w:lang w:val="en-GB"/>
        </w:rPr>
        <w:t xml:space="preserve"> American Scott Ritter, a former weapons inspector for UNSCOM from 1991 to 1998, criticised Butler, asserting that Iraq had complied with 98 percent of disarmament inspections.</w:t>
      </w:r>
      <w:r>
        <w:rPr>
          <w:lang w:val="en-GB"/>
        </w:rPr>
        <w:t xml:space="preserve"> </w:t>
      </w:r>
      <w:r w:rsidRPr="0087479F">
        <w:rPr>
          <w:lang w:val="en-GB"/>
        </w:rPr>
        <w:t>Upon George Bush Jr.</w:t>
      </w:r>
      <w:r w:rsidRPr="00035706">
        <w:rPr>
          <w:lang w:val="en-GB"/>
        </w:rPr>
        <w:t>’</w:t>
      </w:r>
      <w:r w:rsidRPr="0087479F">
        <w:rPr>
          <w:lang w:val="en-GB"/>
        </w:rPr>
        <w:t xml:space="preserve">s inauguration as president on January 20, 2001, numerous neoconservatives ascended to positions of influence. Included in this group were Dick Cheney as Vice President, Donald Rumsfeld as Secretary of Defence, Paul Wolfowitz as Deputy Secretary of Defence, and John Bolton as Ambassador to the </w:t>
      </w:r>
      <w:r>
        <w:rPr>
          <w:lang w:val="en-GB"/>
        </w:rPr>
        <w:t>UN</w:t>
      </w:r>
      <w:r w:rsidRPr="0087479F">
        <w:rPr>
          <w:lang w:val="en-GB"/>
        </w:rPr>
        <w:t xml:space="preserve">. On March 17, 2003, Bush presented Saddam Hussein with an intolerable ultimatum, insisting that he vacate his nation within 48 hours. </w:t>
      </w:r>
      <w:r>
        <w:rPr>
          <w:lang w:val="en-GB"/>
        </w:rPr>
        <w:t>“</w:t>
      </w:r>
      <w:r w:rsidRPr="0087479F">
        <w:rPr>
          <w:lang w:val="en-GB"/>
        </w:rPr>
        <w:t>My fellow citizens,</w:t>
      </w:r>
      <w:r>
        <w:rPr>
          <w:lang w:val="en-GB"/>
        </w:rPr>
        <w:t>”</w:t>
      </w:r>
      <w:r w:rsidRPr="0087479F">
        <w:rPr>
          <w:lang w:val="en-GB"/>
        </w:rPr>
        <w:t xml:space="preserve"> Bush stated on US television, </w:t>
      </w:r>
      <w:r>
        <w:rPr>
          <w:lang w:val="en-GB"/>
        </w:rPr>
        <w:t>“</w:t>
      </w:r>
      <w:r w:rsidRPr="0087479F">
        <w:rPr>
          <w:lang w:val="en-GB"/>
        </w:rPr>
        <w:t>intelligence information gathered by this administration and other governments unequivocally indicates that the Iraqi government possesses and conceals some of the most lethal weapons known to exist.</w:t>
      </w:r>
      <w:r>
        <w:rPr>
          <w:lang w:val="en-GB"/>
        </w:rPr>
        <w:t xml:space="preserve"> </w:t>
      </w:r>
      <w:r w:rsidRPr="0087479F">
        <w:rPr>
          <w:lang w:val="en-GB"/>
        </w:rPr>
        <w:t xml:space="preserve">The threat </w:t>
      </w:r>
      <w:r w:rsidRPr="0087479F">
        <w:rPr>
          <w:lang w:val="en-GB"/>
        </w:rPr>
        <w:lastRenderedPageBreak/>
        <w:t>is evident: should terrorists acquire chemical, biological, or potentially nuclear weapons, possibly with Iraq</w:t>
      </w:r>
      <w:r w:rsidRPr="00035706">
        <w:rPr>
          <w:lang w:val="en-GB"/>
        </w:rPr>
        <w:t>’</w:t>
      </w:r>
      <w:r w:rsidRPr="0087479F">
        <w:rPr>
          <w:lang w:val="en-GB"/>
        </w:rPr>
        <w:t xml:space="preserve">s assistance, they could annihilate thousands or even hundreds of thousands of innocent individuals in our nation or </w:t>
      </w:r>
      <w:r w:rsidRPr="005D40CF">
        <w:rPr>
          <w:lang w:val="en-GB"/>
        </w:rPr>
        <w:t>elsewhere”</w:t>
      </w:r>
      <w:r>
        <w:rPr>
          <w:lang w:val="en-GB"/>
        </w:rPr>
        <w:t xml:space="preserve"> (</w:t>
      </w:r>
      <w:r w:rsidRPr="007C3062">
        <w:rPr>
          <w:szCs w:val="24"/>
          <w:lang w:eastAsia="de-DE"/>
        </w:rPr>
        <w:t>Gouasmia,</w:t>
      </w:r>
      <w:r>
        <w:rPr>
          <w:szCs w:val="24"/>
          <w:lang w:eastAsia="de-DE"/>
        </w:rPr>
        <w:t xml:space="preserve"> 2024).</w:t>
      </w:r>
      <w:r w:rsidRPr="0087479F">
        <w:rPr>
          <w:lang w:val="en-GB"/>
        </w:rPr>
        <w:t xml:space="preserve"> Following the expiration of the ultimatum, Bush Jr. and Tony Blair launched an assault on Iraq without a UN mandate on March 19, 2003, subsequently occupying the nation and its oil reserves with 300,000 troops. The financial implications of the Iraq War are contentious. Official estimates from the US government place the cost at $800 billion; however, economist Joseph Stiglitz has calculated that the Iraq War, including its aftermath, amounts to $3 trillion</w:t>
      </w:r>
      <w:r>
        <w:rPr>
          <w:lang w:val="en-GB"/>
        </w:rPr>
        <w:t xml:space="preserve"> (Ganser, 2020)</w:t>
      </w:r>
      <w:r w:rsidRPr="0087479F">
        <w:rPr>
          <w:lang w:val="en-GB"/>
        </w:rPr>
        <w:t xml:space="preserve">. </w:t>
      </w:r>
    </w:p>
    <w:p w14:paraId="50B31B98" w14:textId="77777777" w:rsidR="009B1CAE" w:rsidRDefault="009B1CAE" w:rsidP="009B1CAE">
      <w:pPr>
        <w:ind w:firstLine="0"/>
        <w:rPr>
          <w:rtl/>
          <w:lang w:val="en-GB"/>
        </w:rPr>
      </w:pPr>
      <w:r w:rsidRPr="0087479F">
        <w:rPr>
          <w:lang w:val="en-GB"/>
        </w:rPr>
        <w:t>This substantial amount equates to an expenditure of one billion dollars daily on the conflict for a duration of eight years. Nevertheless, anyone contemplating the Iraq War inevitably questions the potential alternative applications of the financial resources and labour used, such as in the energy transition, the treatment of war-traumati</w:t>
      </w:r>
      <w:r>
        <w:rPr>
          <w:lang w:val="en-GB"/>
        </w:rPr>
        <w:t>s</w:t>
      </w:r>
      <w:r w:rsidRPr="0087479F">
        <w:rPr>
          <w:lang w:val="en-GB"/>
        </w:rPr>
        <w:t>ed persons, or the education of youth. Wars expend substantial financial resources that are critically required in other areas. Given that the primary actor appears to be the US, it is crucial to highlight NATO</w:t>
      </w:r>
      <w:r w:rsidRPr="00035706">
        <w:rPr>
          <w:lang w:val="en-GB"/>
        </w:rPr>
        <w:t>’</w:t>
      </w:r>
      <w:r w:rsidRPr="0087479F">
        <w:rPr>
          <w:lang w:val="en-GB"/>
        </w:rPr>
        <w:t>s participation. To comprehend NATO</w:t>
      </w:r>
      <w:r w:rsidRPr="00035706">
        <w:rPr>
          <w:lang w:val="en-GB"/>
        </w:rPr>
        <w:t>’</w:t>
      </w:r>
      <w:r w:rsidRPr="0087479F">
        <w:rPr>
          <w:lang w:val="en-GB"/>
        </w:rPr>
        <w:t xml:space="preserve">s role, one must first grasp its structure. Currently, NATO has 28 member states. The </w:t>
      </w:r>
      <w:r>
        <w:rPr>
          <w:lang w:val="en-GB"/>
        </w:rPr>
        <w:t>US</w:t>
      </w:r>
      <w:r w:rsidRPr="0087479F">
        <w:rPr>
          <w:lang w:val="en-GB"/>
        </w:rPr>
        <w:t xml:space="preserve"> is undoubtedly the most </w:t>
      </w:r>
      <w:r>
        <w:rPr>
          <w:lang w:val="en-GB"/>
        </w:rPr>
        <w:t>powerful</w:t>
      </w:r>
      <w:r w:rsidRPr="0087479F">
        <w:rPr>
          <w:lang w:val="en-GB"/>
        </w:rPr>
        <w:t xml:space="preserve"> member within NATO. They have dominated NATO since its inception in 1949. </w:t>
      </w:r>
    </w:p>
    <w:p w14:paraId="01191739" w14:textId="77777777" w:rsidR="009B1CAE" w:rsidRDefault="009B1CAE" w:rsidP="009B1CAE">
      <w:pPr>
        <w:ind w:firstLine="0"/>
        <w:rPr>
          <w:rFonts w:eastAsia="Calibri"/>
          <w:rtl/>
          <w:lang w:val="en-GB" w:eastAsia="en-US"/>
        </w:rPr>
      </w:pPr>
      <w:r w:rsidRPr="0087479F">
        <w:rPr>
          <w:lang w:val="en-GB"/>
        </w:rPr>
        <w:t xml:space="preserve">Former American President Richard Nixon observed, </w:t>
      </w:r>
      <w:r>
        <w:rPr>
          <w:lang w:val="en-GB"/>
        </w:rPr>
        <w:t>“</w:t>
      </w:r>
      <w:r w:rsidRPr="0087479F">
        <w:rPr>
          <w:lang w:val="en-GB"/>
        </w:rPr>
        <w:t>The only international organisation that has ever functioned effectively is NATO, and that is due to its status as a military alliance, of which we are in control</w:t>
      </w:r>
      <w:r>
        <w:rPr>
          <w:lang w:val="en-GB"/>
        </w:rPr>
        <w:t>”</w:t>
      </w:r>
      <w:r w:rsidRPr="0087479F">
        <w:rPr>
          <w:lang w:val="en-GB"/>
        </w:rPr>
        <w:t xml:space="preserve"> (Nixon, 1998). It is accurate to assert that Europeans are reluctant to acknowledge the </w:t>
      </w:r>
      <w:r>
        <w:rPr>
          <w:lang w:val="en-GB"/>
        </w:rPr>
        <w:t xml:space="preserve">US </w:t>
      </w:r>
      <w:r w:rsidRPr="0087479F">
        <w:rPr>
          <w:lang w:val="en-GB"/>
        </w:rPr>
        <w:t xml:space="preserve">dominance within NATO, as this acknowledgement reduces them to a subordinate status. </w:t>
      </w:r>
      <w:r w:rsidRPr="009E50C6">
        <w:rPr>
          <w:lang w:val="en-GB"/>
        </w:rPr>
        <w:t xml:space="preserve">While the Europeans retain the authority to select the Secretary General, currently Mark Rutte, to ensure American supremacy in NATO, the position of top military commander for European territory (SACEUR) is critical. The position of Supreme Allied Commander Europe (SACEUR) is always held by an American general stationed at the Supreme Headquarters Allied Powers Europe (SHAPE) in </w:t>
      </w:r>
      <w:proofErr w:type="spellStart"/>
      <w:r w:rsidRPr="009E50C6">
        <w:rPr>
          <w:lang w:val="en-GB"/>
        </w:rPr>
        <w:t>Casteau</w:t>
      </w:r>
      <w:proofErr w:type="spellEnd"/>
      <w:r w:rsidRPr="009E50C6">
        <w:rPr>
          <w:lang w:val="en-GB"/>
        </w:rPr>
        <w:t xml:space="preserve">, Belgium. </w:t>
      </w:r>
      <w:r w:rsidRPr="0087479F">
        <w:rPr>
          <w:lang w:val="en-GB"/>
        </w:rPr>
        <w:t xml:space="preserve">The SACEUR is accountable for the planning, preparation, and leadership of all NATO military operations (Ganser, 2020). </w:t>
      </w:r>
      <w:r w:rsidRPr="001F49F9">
        <w:rPr>
          <w:rFonts w:eastAsia="Calibri"/>
          <w:lang w:val="en-GB" w:eastAsia="en-US"/>
        </w:rPr>
        <w:t>NATO has</w:t>
      </w:r>
      <w:r w:rsidRPr="0087479F">
        <w:rPr>
          <w:rFonts w:eastAsia="Calibri"/>
          <w:lang w:val="en-GB" w:eastAsia="en-US"/>
        </w:rPr>
        <w:t xml:space="preserve"> segmented the globe into commands based on regions: USPACOM, USAFRICOM, USSOUTHCOM, USNORTHCOM, USCENTCOM, and USEUCOM, all overseen by the Pentagon, which also serves as the headquarter of the US Department of Defence. The hierarchy of command is as follows: 1.</w:t>
      </w:r>
    </w:p>
    <w:p w14:paraId="25BBBC97" w14:textId="77777777" w:rsidR="009B1CAE" w:rsidRDefault="009B1CAE" w:rsidP="009B1CAE">
      <w:pPr>
        <w:ind w:firstLine="0"/>
        <w:rPr>
          <w:rFonts w:eastAsia="Calibri"/>
          <w:rtl/>
          <w:lang w:val="en-GB" w:eastAsia="en-US"/>
        </w:rPr>
      </w:pPr>
      <w:r w:rsidRPr="0087479F">
        <w:rPr>
          <w:rFonts w:eastAsia="Calibri"/>
          <w:lang w:val="en-GB" w:eastAsia="en-US"/>
        </w:rPr>
        <w:t xml:space="preserve"> Pentagon, Virginia, United States NATO Supreme Headquarters Allied Powers Europe (SHAPE) 3. Central Intelligence Agency, Military Intelligence, Section 6 4. ACC Allied Clandestine Committee 5. CPC (Covert Planning Committee). </w:t>
      </w:r>
    </w:p>
    <w:p w14:paraId="37498C27" w14:textId="3A9CA03B" w:rsidR="009B1CAE" w:rsidRPr="00C73448" w:rsidRDefault="009B1CAE" w:rsidP="009B1CAE">
      <w:pPr>
        <w:ind w:firstLine="0"/>
        <w:rPr>
          <w:lang w:val="en-GB"/>
        </w:rPr>
      </w:pPr>
      <w:r w:rsidRPr="0087479F">
        <w:rPr>
          <w:rFonts w:eastAsia="Calibri"/>
          <w:lang w:val="en-GB" w:eastAsia="en-US"/>
        </w:rPr>
        <w:t>This organisation indicates a methodical organisation within NATO for the leadership of military operations globally. This paragraph illustrates that NATO</w:t>
      </w:r>
      <w:r w:rsidRPr="00035706">
        <w:rPr>
          <w:rFonts w:eastAsia="Calibri"/>
          <w:lang w:val="en-GB" w:eastAsia="en-US"/>
        </w:rPr>
        <w:t>’</w:t>
      </w:r>
      <w:r w:rsidRPr="0087479F">
        <w:rPr>
          <w:rFonts w:eastAsia="Calibri"/>
          <w:lang w:val="en-GB" w:eastAsia="en-US"/>
        </w:rPr>
        <w:t xml:space="preserve">s functionality diminishes significantly in the absence of the </w:t>
      </w:r>
      <w:r>
        <w:rPr>
          <w:rFonts w:eastAsia="Calibri"/>
          <w:lang w:val="en-GB" w:eastAsia="en-US"/>
        </w:rPr>
        <w:t>US</w:t>
      </w:r>
      <w:r w:rsidRPr="0087479F">
        <w:rPr>
          <w:rFonts w:eastAsia="Calibri"/>
          <w:lang w:val="en-GB" w:eastAsia="en-US"/>
        </w:rPr>
        <w:t xml:space="preserve">. When analysing the Iraq example, it is essential to consider this reality. Conversely, the </w:t>
      </w:r>
      <w:proofErr w:type="gramStart"/>
      <w:r w:rsidRPr="0087479F">
        <w:rPr>
          <w:rFonts w:eastAsia="Calibri"/>
          <w:lang w:val="en-GB" w:eastAsia="en-US"/>
        </w:rPr>
        <w:t>aforementioned evidence</w:t>
      </w:r>
      <w:proofErr w:type="gramEnd"/>
      <w:r w:rsidRPr="0087479F">
        <w:rPr>
          <w:rFonts w:eastAsia="Calibri"/>
          <w:lang w:val="en-GB" w:eastAsia="en-US"/>
        </w:rPr>
        <w:t xml:space="preserve"> illustrates the interdependence between the US and NATO</w:t>
      </w:r>
      <w:r>
        <w:rPr>
          <w:rFonts w:eastAsia="Calibri"/>
          <w:lang w:val="en-GB" w:eastAsia="en-US"/>
        </w:rPr>
        <w:t xml:space="preserve"> leading to questioning the power structure</w:t>
      </w:r>
      <w:r w:rsidRPr="0087479F">
        <w:rPr>
          <w:rFonts w:eastAsia="Calibri"/>
          <w:lang w:val="en-GB" w:eastAsia="en-US"/>
        </w:rPr>
        <w:t xml:space="preserve"> (Ganser, 2020). </w:t>
      </w:r>
    </w:p>
    <w:p w14:paraId="1B92937B" w14:textId="77777777" w:rsidR="009B1CAE" w:rsidRPr="00035706" w:rsidRDefault="009B1CAE" w:rsidP="009B1CAE">
      <w:pPr>
        <w:numPr>
          <w:ilvl w:val="1"/>
          <w:numId w:val="74"/>
        </w:numPr>
        <w:spacing w:after="160"/>
        <w:rPr>
          <w:rFonts w:eastAsia="Calibri"/>
          <w:b/>
          <w:bCs/>
          <w:lang w:val="en-GB" w:eastAsia="en-US"/>
        </w:rPr>
      </w:pPr>
      <w:r w:rsidRPr="00035706">
        <w:rPr>
          <w:rFonts w:eastAsia="Calibri"/>
          <w:b/>
          <w:bCs/>
          <w:lang w:val="en-GB" w:eastAsia="en-US"/>
        </w:rPr>
        <w:t>NATO‘s Involvement in Iraq</w:t>
      </w:r>
    </w:p>
    <w:p w14:paraId="40A2A0C8" w14:textId="77777777" w:rsidR="009B1CAE" w:rsidRDefault="009B1CAE" w:rsidP="009B1CAE">
      <w:pPr>
        <w:spacing w:after="160"/>
        <w:ind w:firstLine="0"/>
        <w:rPr>
          <w:rFonts w:eastAsia="Calibri"/>
          <w:rtl/>
          <w:lang w:val="en-GB" w:eastAsia="en-US"/>
        </w:rPr>
      </w:pPr>
      <w:r w:rsidRPr="00384496">
        <w:rPr>
          <w:rFonts w:eastAsia="Calibri"/>
          <w:lang w:val="en-GB" w:eastAsia="en-US"/>
        </w:rPr>
        <w:t>NATO’s initial indirect involvement occurred in 1991 when Türkiye requested assistance (</w:t>
      </w:r>
      <w:r w:rsidRPr="00384496">
        <w:rPr>
          <w:szCs w:val="24"/>
          <w:lang w:eastAsia="de-DE"/>
        </w:rPr>
        <w:t>Menon &amp; Wimbush, 2023</w:t>
      </w:r>
      <w:r>
        <w:rPr>
          <w:szCs w:val="24"/>
          <w:lang w:eastAsia="de-DE"/>
        </w:rPr>
        <w:t>)</w:t>
      </w:r>
      <w:r w:rsidRPr="0087479F">
        <w:rPr>
          <w:rFonts w:eastAsia="Calibri"/>
          <w:lang w:val="en-GB" w:eastAsia="en-US"/>
        </w:rPr>
        <w:t>. Following the conclusion of the Iran-Iraq War, Iraq, emerg</w:t>
      </w:r>
      <w:r>
        <w:rPr>
          <w:rFonts w:eastAsia="Calibri"/>
          <w:lang w:val="en-GB" w:eastAsia="en-US"/>
        </w:rPr>
        <w:t>ing</w:t>
      </w:r>
      <w:r w:rsidRPr="0087479F">
        <w:rPr>
          <w:rFonts w:eastAsia="Calibri"/>
          <w:lang w:val="en-GB" w:eastAsia="en-US"/>
        </w:rPr>
        <w:t xml:space="preserve"> as the preeminent military power in the Middle East, encountered substantial difficulties in servicing the debts incurred from Gulf nations during the conflict. The decline in oil prices in 1990 exacerbated Iraq</w:t>
      </w:r>
      <w:r w:rsidRPr="00035706">
        <w:rPr>
          <w:rFonts w:eastAsia="Calibri"/>
          <w:lang w:val="en-GB" w:eastAsia="en-US"/>
        </w:rPr>
        <w:t>’</w:t>
      </w:r>
      <w:r w:rsidRPr="0087479F">
        <w:rPr>
          <w:rFonts w:eastAsia="Calibri"/>
          <w:lang w:val="en-GB" w:eastAsia="en-US"/>
        </w:rPr>
        <w:t xml:space="preserve">s economic condition. Beginning in mid-July 1990, Iraqi leader Saddam Hussein attributed the decline in oil prices to the energy policies of Kuwait and the </w:t>
      </w:r>
      <w:r>
        <w:rPr>
          <w:rFonts w:eastAsia="Calibri"/>
          <w:lang w:val="en-GB" w:eastAsia="en-US"/>
        </w:rPr>
        <w:t>UAE</w:t>
      </w:r>
      <w:r w:rsidRPr="0087479F">
        <w:rPr>
          <w:rFonts w:eastAsia="Calibri"/>
          <w:lang w:val="en-GB" w:eastAsia="en-US"/>
        </w:rPr>
        <w:t xml:space="preserve"> specifically. Simultaneously, he asserted claims to several oil resources situated within Kuwaiti </w:t>
      </w:r>
      <w:r w:rsidRPr="0087479F">
        <w:rPr>
          <w:rFonts w:eastAsia="Calibri"/>
          <w:lang w:val="en-GB" w:eastAsia="en-US"/>
        </w:rPr>
        <w:lastRenderedPageBreak/>
        <w:t xml:space="preserve">territory, along the boundary between Iraq and Kuwait. Negotiations between the two nations conducted in Jeddah, Saudi Arabia, were unproductive, leading to the invasion of Kuwait by Iraqi military troops on August 2, 1990. The </w:t>
      </w:r>
      <w:r>
        <w:rPr>
          <w:rFonts w:eastAsia="Calibri"/>
          <w:lang w:val="en-GB" w:eastAsia="en-US"/>
        </w:rPr>
        <w:t>US</w:t>
      </w:r>
      <w:r w:rsidRPr="0087479F">
        <w:rPr>
          <w:rFonts w:eastAsia="Calibri"/>
          <w:lang w:val="en-GB" w:eastAsia="en-US"/>
        </w:rPr>
        <w:t xml:space="preserve"> perceived Iraq</w:t>
      </w:r>
      <w:r w:rsidRPr="00035706">
        <w:rPr>
          <w:rFonts w:eastAsia="Calibri"/>
          <w:lang w:val="en-GB" w:eastAsia="en-US"/>
        </w:rPr>
        <w:t>’</w:t>
      </w:r>
      <w:r w:rsidRPr="0087479F">
        <w:rPr>
          <w:rFonts w:eastAsia="Calibri"/>
          <w:lang w:val="en-GB" w:eastAsia="en-US"/>
        </w:rPr>
        <w:t>s invasion of Kuwait and its subsequent dominance over two-thirds of the world</w:t>
      </w:r>
      <w:r w:rsidRPr="00035706">
        <w:rPr>
          <w:rFonts w:eastAsia="Calibri"/>
          <w:lang w:val="en-GB" w:eastAsia="en-US"/>
        </w:rPr>
        <w:t>’</w:t>
      </w:r>
      <w:r w:rsidRPr="0087479F">
        <w:rPr>
          <w:rFonts w:eastAsia="Calibri"/>
          <w:lang w:val="en-GB" w:eastAsia="en-US"/>
        </w:rPr>
        <w:t xml:space="preserve">s oil reserves as a danger to the global economy and an act of extortion aimed at them </w:t>
      </w:r>
      <w:r w:rsidRPr="00035706">
        <w:rPr>
          <w:rFonts w:eastAsia="Calibri"/>
          <w:lang w:val="en-GB" w:eastAsia="en-US"/>
        </w:rPr>
        <w:t>(</w:t>
      </w:r>
      <w:r w:rsidRPr="0087479F">
        <w:rPr>
          <w:rFonts w:eastAsia="Calibri"/>
          <w:lang w:val="en-GB" w:eastAsia="en-US"/>
        </w:rPr>
        <w:t>Perry, 1995</w:t>
      </w:r>
      <w:r w:rsidRPr="00035706">
        <w:rPr>
          <w:rFonts w:eastAsia="Calibri"/>
          <w:lang w:val="en-GB" w:eastAsia="en-US"/>
        </w:rPr>
        <w:t xml:space="preserve">). The economic importance of oil as the region’s vital resource and the political threat to Israel compelled the </w:t>
      </w:r>
      <w:r>
        <w:rPr>
          <w:rFonts w:eastAsia="Calibri"/>
          <w:lang w:val="en-GB" w:eastAsia="en-US"/>
        </w:rPr>
        <w:t>US</w:t>
      </w:r>
      <w:r w:rsidRPr="00035706">
        <w:rPr>
          <w:rFonts w:eastAsia="Calibri"/>
          <w:lang w:val="en-GB" w:eastAsia="en-US"/>
        </w:rPr>
        <w:t xml:space="preserve"> to respond promptly to the issue. Consequently, the U</w:t>
      </w:r>
      <w:r>
        <w:rPr>
          <w:rFonts w:eastAsia="Calibri"/>
          <w:lang w:val="en-GB" w:eastAsia="en-US"/>
        </w:rPr>
        <w:t>S</w:t>
      </w:r>
      <w:r w:rsidRPr="00035706">
        <w:rPr>
          <w:rFonts w:eastAsia="Calibri"/>
          <w:lang w:val="en-GB" w:eastAsia="en-US"/>
        </w:rPr>
        <w:t xml:space="preserve"> initiated military preparations to terminate Iraq’s occupation of Kuwait, and under the designation “Operation Desert Shield,” commenced the deployment of military forces to Gulf nations, particularly Saudi </w:t>
      </w:r>
      <w:r w:rsidRPr="00721EDB">
        <w:rPr>
          <w:rFonts w:eastAsia="Calibri"/>
          <w:lang w:val="en-GB" w:eastAsia="en-US"/>
        </w:rPr>
        <w:t>Arabia (</w:t>
      </w:r>
      <w:r w:rsidRPr="00721EDB">
        <w:rPr>
          <w:szCs w:val="24"/>
          <w:lang w:eastAsia="de-DE"/>
        </w:rPr>
        <w:t>Bogers, Beeres, &amp; Bollen, 2022)</w:t>
      </w:r>
      <w:r w:rsidRPr="00721EDB">
        <w:rPr>
          <w:rFonts w:eastAsia="Calibri"/>
          <w:lang w:val="en-GB" w:eastAsia="en-US"/>
        </w:rPr>
        <w:t>.</w:t>
      </w:r>
      <w:r w:rsidRPr="00035706">
        <w:rPr>
          <w:rFonts w:eastAsia="Calibri"/>
          <w:lang w:val="en-GB" w:eastAsia="en-US"/>
        </w:rPr>
        <w:t xml:space="preserve"> Türkiye’s first response to the Gulf crisis, initiated by the Iraqi invasion of Kuwait, was notably circumspect. Turkish officials asserted shortly upon the invasion that the occupation complicated the resolution of the Iraq–Kuwait dispute, and Türkiye openly affirmed its support for a peaceful conclusion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5.08.1990). These statements were interpreted as an effort by Türkiye to avoid taking a clear position and appearing as a party to the conflict at the outset of the crisis.</w:t>
      </w:r>
      <w:r>
        <w:rPr>
          <w:rFonts w:eastAsia="Calibri"/>
          <w:lang w:val="en-GB" w:eastAsia="en-US"/>
        </w:rPr>
        <w:t xml:space="preserve"> </w:t>
      </w:r>
    </w:p>
    <w:p w14:paraId="028A7C41" w14:textId="77777777" w:rsidR="009B1CAE" w:rsidRDefault="009B1CAE" w:rsidP="009B1CAE">
      <w:pPr>
        <w:spacing w:after="160"/>
        <w:ind w:firstLine="0"/>
        <w:rPr>
          <w:rFonts w:eastAsia="Calibri"/>
          <w:rtl/>
          <w:lang w:val="en-GB" w:eastAsia="en-US"/>
        </w:rPr>
      </w:pPr>
      <w:r w:rsidRPr="00035706">
        <w:rPr>
          <w:rFonts w:eastAsia="Calibri"/>
          <w:lang w:val="en-GB" w:eastAsia="en-US"/>
        </w:rPr>
        <w:t>However, the high-level visits from both Iraq and the United States to Türkiye at the beginning of the crisis in the Gulf region revealed the key role Türkiye was expected to play in resolving the conflict. During these visits, it was observed that both sides were trying to influence Türkiye in line with their own policies</w:t>
      </w:r>
      <w:r>
        <w:rPr>
          <w:rFonts w:eastAsia="Calibri"/>
          <w:lang w:val="en-GB" w:eastAsia="en-US"/>
        </w:rPr>
        <w:t xml:space="preserve"> (</w:t>
      </w:r>
      <w:proofErr w:type="spellStart"/>
      <w:r>
        <w:rPr>
          <w:rFonts w:eastAsia="Calibri"/>
          <w:lang w:val="en-GB" w:eastAsia="en-US"/>
        </w:rPr>
        <w:t>Gülbay</w:t>
      </w:r>
      <w:proofErr w:type="spellEnd"/>
      <w:r>
        <w:rPr>
          <w:rFonts w:eastAsia="Calibri"/>
          <w:lang w:val="en-GB" w:eastAsia="en-US"/>
        </w:rPr>
        <w:t>, 2022)</w:t>
      </w:r>
      <w:r w:rsidRPr="00035706">
        <w:rPr>
          <w:rFonts w:eastAsia="Calibri"/>
          <w:lang w:val="en-GB" w:eastAsia="en-US"/>
        </w:rPr>
        <w:t>.</w:t>
      </w:r>
      <w:r>
        <w:rPr>
          <w:rFonts w:eastAsia="Calibri"/>
          <w:lang w:val="en-GB" w:eastAsia="en-US"/>
        </w:rPr>
        <w:t xml:space="preserve"> </w:t>
      </w:r>
      <w:r w:rsidRPr="00035706">
        <w:rPr>
          <w:rFonts w:eastAsia="Calibri"/>
          <w:lang w:val="en-GB" w:eastAsia="en-US"/>
        </w:rPr>
        <w:t>The invasion of Kuwait by Iraqi military forces was closely monitored by NATO, with Türkiye’s unique situation—being a country that shares a land border with Iraq—playing a significant role in this attention. In a statement issued immediately after the invasion from NATO headquarters in Brussels, Iraq’s military aggression against Kuwait was strongly condemned, and a call was made for the immediate and unconditional withdrawal of Iraqi forces from Kuwaiti territory. Furthermore, it was stated that Iraq’s act of invasion constituted a clear violation of the U</w:t>
      </w:r>
      <w:r>
        <w:rPr>
          <w:rFonts w:eastAsia="Calibri"/>
          <w:lang w:val="en-GB" w:eastAsia="en-US"/>
        </w:rPr>
        <w:t>N</w:t>
      </w:r>
      <w:r w:rsidRPr="00035706">
        <w:rPr>
          <w:rFonts w:eastAsia="Calibri"/>
          <w:lang w:val="en-GB" w:eastAsia="en-US"/>
        </w:rPr>
        <w:t xml:space="preserve"> Charter, and Iraq was urged, as an alliance stance, to resolve its issues through peaceful means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02.08.1990).</w:t>
      </w:r>
      <w:r>
        <w:rPr>
          <w:rFonts w:eastAsia="Calibri"/>
          <w:lang w:val="en-GB" w:eastAsia="en-US"/>
        </w:rPr>
        <w:t xml:space="preserve"> </w:t>
      </w:r>
      <w:r w:rsidRPr="00461114">
        <w:rPr>
          <w:rFonts w:eastAsia="Calibri"/>
          <w:lang w:val="en-GB" w:eastAsia="en-US"/>
        </w:rPr>
        <w:t>Regarding the Gulf crisis, declarations following bilateral discussions between U</w:t>
      </w:r>
      <w:r>
        <w:rPr>
          <w:rFonts w:eastAsia="Calibri"/>
          <w:lang w:val="en-GB" w:eastAsia="en-US"/>
        </w:rPr>
        <w:t>S</w:t>
      </w:r>
      <w:r w:rsidRPr="00461114">
        <w:rPr>
          <w:rFonts w:eastAsia="Calibri"/>
          <w:lang w:val="en-GB" w:eastAsia="en-US"/>
        </w:rPr>
        <w:t xml:space="preserve"> President George Bush and British Prime Minister Margaret Thatcher, Canadian Prime Minister Brian Mulroney, and NATO Secretary-General Manfred Wörner indicated that NATO possessed relevant responsibilities concerning the Gulf matter, and that this region could not be deemed entirely “out of area” </w:t>
      </w:r>
      <w:r w:rsidRPr="00035706">
        <w:rPr>
          <w:rFonts w:eastAsia="Calibri"/>
          <w:lang w:val="en-GB" w:eastAsia="en-US"/>
        </w:rPr>
        <w:t>(</w:t>
      </w:r>
      <w:r w:rsidRPr="00035706">
        <w:rPr>
          <w:rFonts w:eastAsia="Calibri"/>
          <w:i/>
          <w:iCs/>
          <w:lang w:val="en-GB" w:eastAsia="en-US"/>
        </w:rPr>
        <w:t>Cumhuriyet</w:t>
      </w:r>
      <w:r w:rsidRPr="00035706">
        <w:rPr>
          <w:rFonts w:eastAsia="Calibri"/>
          <w:lang w:val="en-GB" w:eastAsia="en-US"/>
        </w:rPr>
        <w:t xml:space="preserve">, 08.08.1990). </w:t>
      </w:r>
    </w:p>
    <w:p w14:paraId="08F0F9C4" w14:textId="77777777" w:rsidR="009B1CAE" w:rsidRDefault="009B1CAE" w:rsidP="009B1CAE">
      <w:pPr>
        <w:spacing w:after="160"/>
        <w:ind w:firstLine="0"/>
        <w:rPr>
          <w:rFonts w:eastAsia="Calibri"/>
          <w:rtl/>
          <w:lang w:val="en-GB" w:eastAsia="en-US"/>
        </w:rPr>
      </w:pPr>
      <w:r w:rsidRPr="00461114">
        <w:rPr>
          <w:rFonts w:eastAsia="Calibri"/>
          <w:lang w:val="en-GB" w:eastAsia="en-US"/>
        </w:rPr>
        <w:t xml:space="preserve">During the NATO Council of Ministers meeting in Brussels on 10 August 1990, member countries endorsed a four-point proposal presented by the </w:t>
      </w:r>
      <w:r>
        <w:rPr>
          <w:rFonts w:eastAsia="Calibri"/>
          <w:lang w:val="en-GB" w:eastAsia="en-US"/>
        </w:rPr>
        <w:t>US</w:t>
      </w:r>
      <w:r w:rsidRPr="00461114">
        <w:rPr>
          <w:rFonts w:eastAsia="Calibri"/>
          <w:lang w:val="en-GB" w:eastAsia="en-US"/>
        </w:rPr>
        <w:t>. President Bush</w:t>
      </w:r>
      <w:r w:rsidRPr="00035706">
        <w:rPr>
          <w:rFonts w:eastAsia="Calibri"/>
          <w:lang w:val="en-GB" w:eastAsia="en-US"/>
        </w:rPr>
        <w:t>’</w:t>
      </w:r>
      <w:r w:rsidRPr="00461114">
        <w:rPr>
          <w:rFonts w:eastAsia="Calibri"/>
          <w:lang w:val="en-GB" w:eastAsia="en-US"/>
        </w:rPr>
        <w:t>s decision to deploy soldiers to Saudi Arabia received support, and unequivocal security assurances were provided to Türkiye</w:t>
      </w:r>
      <w:r w:rsidRPr="00035706">
        <w:rPr>
          <w:rFonts w:eastAsia="Calibri"/>
          <w:lang w:val="en-GB" w:eastAsia="en-US"/>
        </w:rPr>
        <w:t xml:space="preserve">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10.08.1990).</w:t>
      </w:r>
      <w:r>
        <w:rPr>
          <w:rFonts w:eastAsia="Calibri"/>
          <w:lang w:val="en-GB" w:eastAsia="en-US"/>
        </w:rPr>
        <w:t xml:space="preserve"> </w:t>
      </w:r>
      <w:r w:rsidRPr="00461114">
        <w:rPr>
          <w:rFonts w:eastAsia="Calibri"/>
          <w:lang w:val="en-GB" w:eastAsia="en-US"/>
        </w:rPr>
        <w:t>The resolutions made during the NATO Council of Ministers meeting convened promptly following Iraq</w:t>
      </w:r>
      <w:r w:rsidRPr="00035706">
        <w:rPr>
          <w:rFonts w:eastAsia="Calibri"/>
          <w:lang w:val="en-GB" w:eastAsia="en-US"/>
        </w:rPr>
        <w:t>’</w:t>
      </w:r>
      <w:r w:rsidRPr="00461114">
        <w:rPr>
          <w:rFonts w:eastAsia="Calibri"/>
          <w:lang w:val="en-GB" w:eastAsia="en-US"/>
        </w:rPr>
        <w:t>s incursion into Kuwait represented numerous unprecedented milestones in the organi</w:t>
      </w:r>
      <w:r>
        <w:rPr>
          <w:rFonts w:eastAsia="Calibri"/>
          <w:lang w:val="en-GB" w:eastAsia="en-US"/>
        </w:rPr>
        <w:t>s</w:t>
      </w:r>
      <w:r w:rsidRPr="00461114">
        <w:rPr>
          <w:rFonts w:eastAsia="Calibri"/>
          <w:lang w:val="en-GB" w:eastAsia="en-US"/>
        </w:rPr>
        <w:t>ation</w:t>
      </w:r>
      <w:r w:rsidRPr="00035706">
        <w:rPr>
          <w:rFonts w:eastAsia="Calibri"/>
          <w:lang w:val="en-GB" w:eastAsia="en-US"/>
        </w:rPr>
        <w:t>’</w:t>
      </w:r>
      <w:r w:rsidRPr="00461114">
        <w:rPr>
          <w:rFonts w:eastAsia="Calibri"/>
          <w:lang w:val="en-GB" w:eastAsia="en-US"/>
        </w:rPr>
        <w:t>s history. NATO, experiencing a substantial transformation in the immediate post-Cold War period, indicated that it would not only preserve military significance but also assume a prominent political role by positioning itself as a forum for consultation and decision-making. NATO</w:t>
      </w:r>
      <w:r w:rsidRPr="00035706">
        <w:rPr>
          <w:rFonts w:eastAsia="Calibri"/>
          <w:lang w:val="en-GB" w:eastAsia="en-US"/>
        </w:rPr>
        <w:t>’</w:t>
      </w:r>
      <w:r w:rsidRPr="00461114">
        <w:rPr>
          <w:rFonts w:eastAsia="Calibri"/>
          <w:lang w:val="en-GB" w:eastAsia="en-US"/>
        </w:rPr>
        <w:t>s deployment of aviation units from its Rapid Reaction Force to South-eastern Türkiye to aid in the nation</w:t>
      </w:r>
      <w:r w:rsidRPr="00035706">
        <w:rPr>
          <w:rFonts w:eastAsia="Calibri"/>
          <w:lang w:val="en-GB" w:eastAsia="en-US"/>
        </w:rPr>
        <w:t>’</w:t>
      </w:r>
      <w:r w:rsidRPr="00461114">
        <w:rPr>
          <w:rFonts w:eastAsia="Calibri"/>
          <w:lang w:val="en-GB" w:eastAsia="en-US"/>
        </w:rPr>
        <w:t xml:space="preserve">s air defence marked the inaugural instance of the alliance deploying military units under its command during a crisis. </w:t>
      </w:r>
    </w:p>
    <w:p w14:paraId="16187EF4" w14:textId="15CD8842" w:rsidR="009B1CAE" w:rsidRDefault="009B1CAE" w:rsidP="009B1CAE">
      <w:pPr>
        <w:spacing w:after="160"/>
        <w:ind w:firstLine="0"/>
        <w:rPr>
          <w:rFonts w:eastAsia="Calibri"/>
          <w:rtl/>
          <w:lang w:val="en-GB" w:eastAsia="en-US"/>
        </w:rPr>
      </w:pPr>
      <w:r w:rsidRPr="00461114">
        <w:rPr>
          <w:rFonts w:eastAsia="Calibri"/>
          <w:lang w:val="en-GB" w:eastAsia="en-US"/>
        </w:rPr>
        <w:t>The deployment of the Rapid Reaction Force to a situation involving a nation beyond the Soviet Union and the Warsaw Pact—essentially a “out of area” assignment—was unprecedented in the alliance</w:t>
      </w:r>
      <w:r w:rsidRPr="00035706">
        <w:rPr>
          <w:rFonts w:eastAsia="Calibri"/>
          <w:lang w:val="en-GB" w:eastAsia="en-US"/>
        </w:rPr>
        <w:t>’</w:t>
      </w:r>
      <w:r w:rsidRPr="00461114">
        <w:rPr>
          <w:rFonts w:eastAsia="Calibri"/>
          <w:lang w:val="en-GB" w:eastAsia="en-US"/>
        </w:rPr>
        <w:t>s history.</w:t>
      </w:r>
      <w:r>
        <w:rPr>
          <w:rFonts w:eastAsia="Calibri"/>
          <w:lang w:val="en-GB" w:eastAsia="en-US"/>
        </w:rPr>
        <w:t xml:space="preserve"> </w:t>
      </w:r>
      <w:r w:rsidRPr="00461114">
        <w:rPr>
          <w:rFonts w:eastAsia="Calibri"/>
          <w:lang w:val="en-GB" w:eastAsia="en-US"/>
        </w:rPr>
        <w:t>The decisions made by NATO during the Gulf crisis also provided a framework for the alliance</w:t>
      </w:r>
      <w:r w:rsidRPr="00035706">
        <w:rPr>
          <w:rFonts w:eastAsia="Calibri"/>
          <w:lang w:val="en-GB" w:eastAsia="en-US"/>
        </w:rPr>
        <w:t>’</w:t>
      </w:r>
      <w:r w:rsidRPr="00461114">
        <w:rPr>
          <w:rFonts w:eastAsia="Calibri"/>
          <w:lang w:val="en-GB" w:eastAsia="en-US"/>
        </w:rPr>
        <w:t xml:space="preserve">s potential responses to issues emerging beyond its conventional sphere of responsibility, often discussed within the context of </w:t>
      </w:r>
      <w:r>
        <w:rPr>
          <w:rFonts w:eastAsia="Calibri"/>
          <w:lang w:val="en-GB" w:eastAsia="en-US"/>
        </w:rPr>
        <w:t>“</w:t>
      </w:r>
      <w:r w:rsidRPr="00461114">
        <w:rPr>
          <w:rFonts w:eastAsia="Calibri"/>
          <w:lang w:val="en-GB" w:eastAsia="en-US"/>
        </w:rPr>
        <w:t>out of area</w:t>
      </w:r>
      <w:r>
        <w:rPr>
          <w:rFonts w:eastAsia="Calibri"/>
          <w:lang w:val="en-GB" w:eastAsia="en-US"/>
        </w:rPr>
        <w:t>”</w:t>
      </w:r>
      <w:r w:rsidRPr="00461114">
        <w:rPr>
          <w:rFonts w:eastAsia="Calibri"/>
          <w:lang w:val="en-GB" w:eastAsia="en-US"/>
        </w:rPr>
        <w:t xml:space="preserve"> operations. The </w:t>
      </w:r>
      <w:r w:rsidRPr="00461114">
        <w:rPr>
          <w:rFonts w:eastAsia="Calibri"/>
          <w:lang w:val="en-GB" w:eastAsia="en-US"/>
        </w:rPr>
        <w:lastRenderedPageBreak/>
        <w:t xml:space="preserve">engagement of NATO </w:t>
      </w:r>
      <w:r w:rsidRPr="00403EBD">
        <w:rPr>
          <w:rFonts w:eastAsia="Calibri"/>
          <w:lang w:val="en-GB" w:eastAsia="en-US"/>
        </w:rPr>
        <w:t>member states in comprehensive conversations</w:t>
      </w:r>
      <w:r w:rsidRPr="00461114">
        <w:rPr>
          <w:rFonts w:eastAsia="Calibri"/>
          <w:lang w:val="en-GB" w:eastAsia="en-US"/>
        </w:rPr>
        <w:t xml:space="preserve"> and assessments of a crisis occurring outside NATO</w:t>
      </w:r>
      <w:r w:rsidRPr="00035706">
        <w:rPr>
          <w:rFonts w:eastAsia="Calibri"/>
          <w:lang w:val="en-GB" w:eastAsia="en-US"/>
        </w:rPr>
        <w:t>’</w:t>
      </w:r>
      <w:r w:rsidRPr="00461114">
        <w:rPr>
          <w:rFonts w:eastAsia="Calibri"/>
          <w:lang w:val="en-GB" w:eastAsia="en-US"/>
        </w:rPr>
        <w:t>s primary region indicated that NATO is poised to assume a political role in analogous crises in the future. The alliance</w:t>
      </w:r>
      <w:r w:rsidRPr="00035706">
        <w:rPr>
          <w:rFonts w:eastAsia="Calibri"/>
          <w:lang w:val="en-GB" w:eastAsia="en-US"/>
        </w:rPr>
        <w:t>’</w:t>
      </w:r>
      <w:r w:rsidRPr="00461114">
        <w:rPr>
          <w:rFonts w:eastAsia="Calibri"/>
          <w:lang w:val="en-GB" w:eastAsia="en-US"/>
        </w:rPr>
        <w:t>s choice to forgo a joint operation, opting instead to support only the U</w:t>
      </w:r>
      <w:r>
        <w:rPr>
          <w:rFonts w:eastAsia="Calibri"/>
          <w:lang w:val="en-GB" w:eastAsia="en-US"/>
        </w:rPr>
        <w:t>S</w:t>
      </w:r>
      <w:r w:rsidRPr="00461114">
        <w:rPr>
          <w:rFonts w:eastAsia="Calibri"/>
          <w:lang w:val="en-GB" w:eastAsia="en-US"/>
        </w:rPr>
        <w:t xml:space="preserve">, which had stationed troops in the region, indicated that certain European members remained ambivalent regarding the </w:t>
      </w:r>
      <w:r>
        <w:rPr>
          <w:rFonts w:eastAsia="Calibri"/>
          <w:lang w:val="en-GB" w:eastAsia="en-US"/>
        </w:rPr>
        <w:t>“</w:t>
      </w:r>
      <w:r w:rsidRPr="00461114">
        <w:rPr>
          <w:rFonts w:eastAsia="Calibri"/>
          <w:lang w:val="en-GB" w:eastAsia="en-US"/>
        </w:rPr>
        <w:t>out of area</w:t>
      </w:r>
      <w:r>
        <w:rPr>
          <w:rFonts w:eastAsia="Calibri"/>
          <w:lang w:val="en-GB" w:eastAsia="en-US"/>
        </w:rPr>
        <w:t>”</w:t>
      </w:r>
      <w:r w:rsidRPr="00461114">
        <w:rPr>
          <w:rFonts w:eastAsia="Calibri"/>
          <w:lang w:val="en-GB" w:eastAsia="en-US"/>
        </w:rPr>
        <w:t xml:space="preserve"> strategy and continued to possess reservations on the issue. Notwithstanding NATO</w:t>
      </w:r>
      <w:r w:rsidRPr="00035706">
        <w:rPr>
          <w:rFonts w:eastAsia="Calibri"/>
          <w:lang w:val="en-GB" w:eastAsia="en-US"/>
        </w:rPr>
        <w:t>’</w:t>
      </w:r>
      <w:r w:rsidRPr="00461114">
        <w:rPr>
          <w:rFonts w:eastAsia="Calibri"/>
          <w:lang w:val="en-GB" w:eastAsia="en-US"/>
        </w:rPr>
        <w:t>s resolution, numerous member states provided military support—varying in degree—to the U</w:t>
      </w:r>
      <w:r>
        <w:rPr>
          <w:rFonts w:eastAsia="Calibri"/>
          <w:lang w:val="en-GB" w:eastAsia="en-US"/>
        </w:rPr>
        <w:t>S</w:t>
      </w:r>
      <w:r w:rsidRPr="00461114">
        <w:rPr>
          <w:rFonts w:eastAsia="Calibri"/>
          <w:lang w:val="en-GB" w:eastAsia="en-US"/>
        </w:rPr>
        <w:t>-led multinational force stationed in the Gulf region. By permitting the use of their air, land, and naval bases by this multinational force, even in the absence of direct military engagement, these nations illustrated the depth of NATO</w:t>
      </w:r>
      <w:r w:rsidRPr="00035706">
        <w:rPr>
          <w:rFonts w:eastAsia="Calibri"/>
          <w:lang w:val="en-GB" w:eastAsia="en-US"/>
        </w:rPr>
        <w:t>’</w:t>
      </w:r>
      <w:r w:rsidRPr="00461114">
        <w:rPr>
          <w:rFonts w:eastAsia="Calibri"/>
          <w:lang w:val="en-GB" w:eastAsia="en-US"/>
        </w:rPr>
        <w:t xml:space="preserve">s involvement in the Gulf crisis. </w:t>
      </w:r>
      <w:proofErr w:type="gramStart"/>
      <w:r w:rsidRPr="00461114">
        <w:rPr>
          <w:rFonts w:eastAsia="Calibri"/>
          <w:lang w:val="en-GB" w:eastAsia="en-US"/>
        </w:rPr>
        <w:t>Subsequent to</w:t>
      </w:r>
      <w:proofErr w:type="gramEnd"/>
      <w:r w:rsidRPr="00461114">
        <w:rPr>
          <w:rFonts w:eastAsia="Calibri"/>
          <w:lang w:val="en-GB" w:eastAsia="en-US"/>
        </w:rPr>
        <w:t xml:space="preserve"> Iraq</w:t>
      </w:r>
      <w:r w:rsidRPr="00035706">
        <w:rPr>
          <w:rFonts w:eastAsia="Calibri"/>
          <w:lang w:val="en-GB" w:eastAsia="en-US"/>
        </w:rPr>
        <w:t>’</w:t>
      </w:r>
      <w:r w:rsidRPr="00461114">
        <w:rPr>
          <w:rFonts w:eastAsia="Calibri"/>
          <w:lang w:val="en-GB" w:eastAsia="en-US"/>
        </w:rPr>
        <w:t xml:space="preserve">s incursion into Kuwait, the </w:t>
      </w:r>
      <w:r>
        <w:rPr>
          <w:rFonts w:eastAsia="Calibri"/>
          <w:lang w:val="en-GB" w:eastAsia="en-US"/>
        </w:rPr>
        <w:t>US</w:t>
      </w:r>
      <w:r w:rsidRPr="00461114">
        <w:rPr>
          <w:rFonts w:eastAsia="Calibri"/>
          <w:lang w:val="en-GB" w:eastAsia="en-US"/>
        </w:rPr>
        <w:t xml:space="preserve"> initiated a military build-up designated </w:t>
      </w:r>
      <w:r>
        <w:rPr>
          <w:rFonts w:eastAsia="Calibri"/>
          <w:lang w:val="en-GB" w:eastAsia="en-US"/>
        </w:rPr>
        <w:t>“</w:t>
      </w:r>
      <w:r w:rsidRPr="00461114">
        <w:rPr>
          <w:rFonts w:eastAsia="Calibri"/>
          <w:lang w:val="en-GB" w:eastAsia="en-US"/>
        </w:rPr>
        <w:t>Desert Shield,</w:t>
      </w:r>
      <w:r>
        <w:rPr>
          <w:rFonts w:eastAsia="Calibri"/>
          <w:lang w:val="en-GB" w:eastAsia="en-US"/>
        </w:rPr>
        <w:t>”</w:t>
      </w:r>
      <w:r w:rsidRPr="00461114">
        <w:rPr>
          <w:rFonts w:eastAsia="Calibri"/>
          <w:lang w:val="en-GB" w:eastAsia="en-US"/>
        </w:rPr>
        <w:t xml:space="preserve"> predominantly in Saudi Arabia and other Gulf nations, in anticipation of a potential military intervention. By the conclusion of August, the </w:t>
      </w:r>
      <w:r>
        <w:rPr>
          <w:rFonts w:eastAsia="Calibri"/>
          <w:lang w:val="en-GB" w:eastAsia="en-US"/>
        </w:rPr>
        <w:t>US</w:t>
      </w:r>
      <w:r w:rsidRPr="00461114">
        <w:rPr>
          <w:rFonts w:eastAsia="Calibri"/>
          <w:lang w:val="en-GB" w:eastAsia="en-US"/>
        </w:rPr>
        <w:t xml:space="preserve"> had communicated its expectations to NATO via the NATO Secretary General, soliciting the distribution of the operational budgetary burden among member nations and advocating for NATO</w:t>
      </w:r>
      <w:r w:rsidRPr="00035706">
        <w:rPr>
          <w:rFonts w:eastAsia="Calibri"/>
          <w:lang w:val="en-GB" w:eastAsia="en-US"/>
        </w:rPr>
        <w:t>’</w:t>
      </w:r>
      <w:r w:rsidRPr="00461114">
        <w:rPr>
          <w:rFonts w:eastAsia="Calibri"/>
          <w:lang w:val="en-GB" w:eastAsia="en-US"/>
        </w:rPr>
        <w:t>s extension beyond its conventional territory</w:t>
      </w:r>
      <w:r w:rsidRPr="00035706">
        <w:rPr>
          <w:rFonts w:eastAsia="Calibri"/>
          <w:lang w:val="en-GB" w:eastAsia="en-US"/>
        </w:rPr>
        <w:t xml:space="preserve">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xml:space="preserve">, 31.08.1990). </w:t>
      </w:r>
    </w:p>
    <w:p w14:paraId="04B22DA4" w14:textId="5C391CF3" w:rsidR="009B1CAE" w:rsidRDefault="009B1CAE" w:rsidP="009B1CAE">
      <w:pPr>
        <w:spacing w:after="160"/>
        <w:ind w:firstLine="0"/>
        <w:rPr>
          <w:rFonts w:eastAsia="Calibri"/>
          <w:rtl/>
          <w:lang w:val="en-GB" w:eastAsia="en-US"/>
        </w:rPr>
      </w:pPr>
      <w:r w:rsidRPr="00035706">
        <w:rPr>
          <w:rFonts w:eastAsia="Calibri"/>
          <w:lang w:val="en-GB" w:eastAsia="en-US"/>
        </w:rPr>
        <w:t>The financial aspect of NATO’s engagement in Iraq will be addressed imminently; as previously said, a distribution of responsibilities was nece</w:t>
      </w:r>
      <w:r w:rsidRPr="00912977">
        <w:rPr>
          <w:rFonts w:eastAsia="Calibri"/>
          <w:lang w:val="en-GB" w:eastAsia="en-US"/>
        </w:rPr>
        <w:t>ssary</w:t>
      </w:r>
      <w:r>
        <w:rPr>
          <w:rFonts w:eastAsia="Calibri"/>
          <w:lang w:val="en-GB" w:eastAsia="en-US"/>
        </w:rPr>
        <w:t xml:space="preserve"> (</w:t>
      </w:r>
      <w:r w:rsidRPr="002D2491">
        <w:rPr>
          <w:szCs w:val="24"/>
          <w:lang w:eastAsia="de-DE"/>
        </w:rPr>
        <w:t>Bogers,</w:t>
      </w:r>
      <w:r>
        <w:rPr>
          <w:szCs w:val="24"/>
          <w:lang w:eastAsia="de-DE"/>
        </w:rPr>
        <w:t xml:space="preserve"> </w:t>
      </w:r>
      <w:r w:rsidRPr="002D2491">
        <w:rPr>
          <w:szCs w:val="24"/>
          <w:lang w:eastAsia="de-DE"/>
        </w:rPr>
        <w:t>Beeres</w:t>
      </w:r>
      <w:r>
        <w:rPr>
          <w:szCs w:val="24"/>
          <w:lang w:eastAsia="de-DE"/>
        </w:rPr>
        <w:t xml:space="preserve"> </w:t>
      </w:r>
      <w:r w:rsidRPr="002D2491">
        <w:rPr>
          <w:szCs w:val="24"/>
          <w:lang w:eastAsia="de-DE"/>
        </w:rPr>
        <w:t>&amp; Bollen</w:t>
      </w:r>
      <w:r>
        <w:rPr>
          <w:szCs w:val="24"/>
          <w:lang w:eastAsia="de-DE"/>
        </w:rPr>
        <w:t>, 2022)</w:t>
      </w:r>
      <w:r w:rsidRPr="00035706">
        <w:rPr>
          <w:rFonts w:eastAsia="Calibri"/>
          <w:lang w:val="en-GB" w:eastAsia="en-US"/>
        </w:rPr>
        <w:t>. Burden sharing refers to the allocation of expenses and risks among group members while pursuing a shared objective. The hazards may be economic, political, military, or otherwise. A family is, in part, an arrangement for sharing burdens, with a significant portion of these burdens being emotional. In a coalition of nations aimed at enhancing collective defence or security, such as NATO, the shared responsibilities encompass the expenses associated with the maintenance and upkeep of military forces, their deployment abroad, and their utilisation in combat or peacekeeping missions. The expenses associated with military intervention extend beyond mere economic factors. Wars and military activities can shape public opinion and, in certain instances, lead to the collapse of regimes. States deploying troops into peril for the sake of alliance unity recognise that the chain of commitment is only as robust as its most fragile link (Stephen, 2010).</w:t>
      </w:r>
      <w:r>
        <w:rPr>
          <w:rFonts w:eastAsia="Calibri"/>
          <w:lang w:val="en-GB" w:eastAsia="en-US"/>
        </w:rPr>
        <w:t xml:space="preserve"> </w:t>
      </w:r>
      <w:r w:rsidRPr="00461114">
        <w:rPr>
          <w:rFonts w:eastAsia="Calibri"/>
          <w:lang w:val="en-GB" w:eastAsia="en-US"/>
        </w:rPr>
        <w:t xml:space="preserve">During a speech at the emergency NATO Council meeting in September, </w:t>
      </w:r>
      <w:r>
        <w:rPr>
          <w:rFonts w:eastAsia="Calibri"/>
          <w:lang w:val="en-GB" w:eastAsia="en-US"/>
        </w:rPr>
        <w:t xml:space="preserve">US </w:t>
      </w:r>
      <w:r w:rsidRPr="00461114">
        <w:rPr>
          <w:rFonts w:eastAsia="Calibri"/>
          <w:lang w:val="en-GB" w:eastAsia="en-US"/>
        </w:rPr>
        <w:t xml:space="preserve">Secretary of State James Baker asserted that member states ought to undertake increased military, political, and financial responsibility regarding the Gulf crisis, including troop deployment. </w:t>
      </w:r>
    </w:p>
    <w:p w14:paraId="50335462" w14:textId="77777777" w:rsidR="009B1CAE" w:rsidRDefault="009B1CAE" w:rsidP="009B1CAE">
      <w:pPr>
        <w:spacing w:after="160"/>
        <w:ind w:firstLine="0"/>
        <w:rPr>
          <w:rFonts w:eastAsia="Calibri"/>
          <w:rtl/>
          <w:lang w:val="en-GB" w:eastAsia="en-US"/>
        </w:rPr>
      </w:pPr>
      <w:r w:rsidRPr="00461114">
        <w:rPr>
          <w:rFonts w:eastAsia="Calibri"/>
          <w:lang w:val="en-GB" w:eastAsia="en-US"/>
        </w:rPr>
        <w:t>He also demanded that Türkiye be afforded enhanced access to intelligence</w:t>
      </w:r>
      <w:r w:rsidRPr="00035706">
        <w:rPr>
          <w:rFonts w:eastAsia="Calibri"/>
          <w:lang w:val="en-GB" w:eastAsia="en-US"/>
        </w:rPr>
        <w:t xml:space="preserve">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10.09.1990).</w:t>
      </w:r>
      <w:r>
        <w:rPr>
          <w:rFonts w:eastAsia="Calibri"/>
          <w:lang w:val="en-GB" w:eastAsia="en-US"/>
        </w:rPr>
        <w:t xml:space="preserve"> </w:t>
      </w:r>
      <w:r w:rsidRPr="00035706">
        <w:rPr>
          <w:rFonts w:eastAsia="Calibri"/>
          <w:lang w:val="en-GB" w:eastAsia="en-US"/>
        </w:rPr>
        <w:t>Türkiye</w:t>
      </w:r>
      <w:r w:rsidRPr="00461114">
        <w:rPr>
          <w:rFonts w:eastAsia="Calibri"/>
          <w:lang w:val="en-GB" w:eastAsia="en-US"/>
        </w:rPr>
        <w:t>, previously reluctant to seek NATO military assistance—primarily due to apprehensions regarding Iraq</w:t>
      </w:r>
      <w:r w:rsidRPr="00035706">
        <w:rPr>
          <w:rFonts w:eastAsia="Calibri"/>
          <w:lang w:val="en-GB" w:eastAsia="en-US"/>
        </w:rPr>
        <w:t>’</w:t>
      </w:r>
      <w:r w:rsidRPr="00461114">
        <w:rPr>
          <w:rFonts w:eastAsia="Calibri"/>
          <w:lang w:val="en-GB" w:eastAsia="en-US"/>
        </w:rPr>
        <w:t>s possible response and an expectation that diplomatic initiatives may prove fruitful—began to reassess this matter more earnestly at this juncture of the conflict. In response to the heightened probability of confrontation in the Gulf, Türkiye publicly solicited NATO, marking the first instance in the alliance</w:t>
      </w:r>
      <w:r w:rsidRPr="00035706">
        <w:rPr>
          <w:rFonts w:eastAsia="Calibri"/>
          <w:lang w:val="en-GB" w:eastAsia="en-US"/>
        </w:rPr>
        <w:t>’</w:t>
      </w:r>
      <w:r w:rsidRPr="00461114">
        <w:rPr>
          <w:rFonts w:eastAsia="Calibri"/>
          <w:lang w:val="en-GB" w:eastAsia="en-US"/>
        </w:rPr>
        <w:t>s history, to send aviation units from the Allied Rapid Reaction Corps (ARRC) to its territory to bolster the forces of NATO</w:t>
      </w:r>
      <w:r w:rsidRPr="00035706">
        <w:rPr>
          <w:rFonts w:eastAsia="Calibri"/>
          <w:lang w:val="en-GB" w:eastAsia="en-US"/>
        </w:rPr>
        <w:t>’</w:t>
      </w:r>
      <w:r w:rsidRPr="00461114">
        <w:rPr>
          <w:rFonts w:eastAsia="Calibri"/>
          <w:lang w:val="en-GB" w:eastAsia="en-US"/>
        </w:rPr>
        <w:t>s southern flank</w:t>
      </w:r>
      <w:r w:rsidRPr="00035706">
        <w:rPr>
          <w:rFonts w:eastAsia="Calibri"/>
          <w:lang w:val="en-GB" w:eastAsia="en-US"/>
        </w:rPr>
        <w:t xml:space="preserve"> (</w:t>
      </w:r>
      <w:proofErr w:type="spellStart"/>
      <w:r w:rsidRPr="00035706">
        <w:rPr>
          <w:rFonts w:eastAsia="Calibri"/>
          <w:i/>
          <w:iCs/>
          <w:lang w:val="en-GB" w:eastAsia="en-US"/>
        </w:rPr>
        <w:t>Ayın</w:t>
      </w:r>
      <w:proofErr w:type="spellEnd"/>
      <w:r w:rsidRPr="00035706">
        <w:rPr>
          <w:rFonts w:eastAsia="Calibri"/>
          <w:i/>
          <w:iCs/>
          <w:lang w:val="en-GB" w:eastAsia="en-US"/>
        </w:rPr>
        <w:t xml:space="preserve"> </w:t>
      </w:r>
      <w:proofErr w:type="spellStart"/>
      <w:r w:rsidRPr="00035706">
        <w:rPr>
          <w:rFonts w:eastAsia="Calibri"/>
          <w:i/>
          <w:iCs/>
          <w:lang w:val="en-GB" w:eastAsia="en-US"/>
        </w:rPr>
        <w:t>Tarihi</w:t>
      </w:r>
      <w:proofErr w:type="spellEnd"/>
      <w:r w:rsidRPr="00035706">
        <w:rPr>
          <w:rFonts w:eastAsia="Calibri"/>
          <w:lang w:val="en-GB" w:eastAsia="en-US"/>
        </w:rPr>
        <w:t>, 18.12.1990).</w:t>
      </w:r>
      <w:r>
        <w:rPr>
          <w:rFonts w:eastAsia="Calibri"/>
          <w:lang w:val="en-GB" w:eastAsia="en-US"/>
        </w:rPr>
        <w:t xml:space="preserve"> </w:t>
      </w:r>
    </w:p>
    <w:p w14:paraId="533E51DF" w14:textId="77777777" w:rsidR="00C004FE" w:rsidRDefault="009B1CAE" w:rsidP="009B1CAE">
      <w:pPr>
        <w:spacing w:after="160"/>
        <w:ind w:firstLine="0"/>
        <w:rPr>
          <w:rFonts w:eastAsia="Calibri"/>
          <w:rtl/>
          <w:lang w:val="en-GB" w:eastAsia="en-US"/>
        </w:rPr>
      </w:pPr>
      <w:r w:rsidRPr="00461114">
        <w:rPr>
          <w:rFonts w:eastAsia="Calibri"/>
          <w:lang w:val="en-GB" w:eastAsia="en-US"/>
        </w:rPr>
        <w:t>In late December 1990, the NATO Defence and Planning Committee assembled to deliberate on the deployment of the requested air force units but failed to arrive at a conclusive resolution. Belgium and Germany suggested deploying expert teams to Türkiye for on-site evaluations, with a conclusive decision to be derived from their findings. Subsequent assessments led the NATO Defence and Planning Committee to reassemble in early January 1991, when they sanctioned Türkiye</w:t>
      </w:r>
      <w:r w:rsidRPr="00035706">
        <w:rPr>
          <w:rFonts w:eastAsia="Calibri"/>
          <w:lang w:val="en-GB" w:eastAsia="en-US"/>
        </w:rPr>
        <w:t>’</w:t>
      </w:r>
      <w:r w:rsidRPr="00461114">
        <w:rPr>
          <w:rFonts w:eastAsia="Calibri"/>
          <w:lang w:val="en-GB" w:eastAsia="en-US"/>
        </w:rPr>
        <w:t>s request to deploy ARRC air units on Turkish territory. The committee announced the deployment of a NATO air force contingent including German, Belgian, and Italian aircraft to Türkiye</w:t>
      </w:r>
      <w:r w:rsidRPr="00035706">
        <w:rPr>
          <w:rFonts w:eastAsia="Calibri"/>
          <w:lang w:val="en-GB" w:eastAsia="en-US"/>
        </w:rPr>
        <w:t>’</w:t>
      </w:r>
      <w:r w:rsidRPr="00461114">
        <w:rPr>
          <w:rFonts w:eastAsia="Calibri"/>
          <w:lang w:val="en-GB" w:eastAsia="en-US"/>
        </w:rPr>
        <w:t xml:space="preserve">s </w:t>
      </w:r>
      <w:proofErr w:type="spellStart"/>
      <w:r w:rsidRPr="00461114">
        <w:rPr>
          <w:rFonts w:eastAsia="Calibri"/>
          <w:lang w:val="en-GB" w:eastAsia="en-US"/>
        </w:rPr>
        <w:t>southeaster</w:t>
      </w:r>
      <w:proofErr w:type="spellEnd"/>
      <w:r w:rsidRPr="00461114">
        <w:rPr>
          <w:rFonts w:eastAsia="Calibri"/>
          <w:lang w:val="en-GB" w:eastAsia="en-US"/>
        </w:rPr>
        <w:t xml:space="preserve"> region. The decision was articulated as a manifestation </w:t>
      </w:r>
      <w:r w:rsidRPr="00461114">
        <w:rPr>
          <w:rFonts w:eastAsia="Calibri"/>
          <w:lang w:val="en-GB" w:eastAsia="en-US"/>
        </w:rPr>
        <w:lastRenderedPageBreak/>
        <w:t>of the alliance</w:t>
      </w:r>
      <w:r w:rsidRPr="00035706">
        <w:rPr>
          <w:rFonts w:eastAsia="Calibri"/>
          <w:lang w:val="en-GB" w:eastAsia="en-US"/>
        </w:rPr>
        <w:t>’</w:t>
      </w:r>
      <w:r w:rsidRPr="00461114">
        <w:rPr>
          <w:rFonts w:eastAsia="Calibri"/>
          <w:lang w:val="en-GB" w:eastAsia="en-US"/>
        </w:rPr>
        <w:t>s unity and resolve to uphold a member state</w:t>
      </w:r>
      <w:r w:rsidRPr="00035706">
        <w:rPr>
          <w:rFonts w:eastAsia="Calibri"/>
          <w:lang w:val="en-GB" w:eastAsia="en-US"/>
        </w:rPr>
        <w:t>’</w:t>
      </w:r>
      <w:r w:rsidRPr="00461114">
        <w:rPr>
          <w:rFonts w:eastAsia="Calibri"/>
          <w:lang w:val="en-GB" w:eastAsia="en-US"/>
        </w:rPr>
        <w:t>s territorial integrity against a prospective danger, hence enhancing deterrence and collective defence.</w:t>
      </w:r>
      <w:r w:rsidRPr="00035706">
        <w:rPr>
          <w:rFonts w:eastAsia="Calibri"/>
          <w:lang w:val="en-GB" w:eastAsia="en-US"/>
        </w:rPr>
        <w:t xml:space="preserve"> </w:t>
      </w:r>
      <w:r w:rsidRPr="00461114">
        <w:rPr>
          <w:rFonts w:eastAsia="Calibri"/>
          <w:lang w:val="en-GB" w:eastAsia="en-US"/>
        </w:rPr>
        <w:t xml:space="preserve">Germany has pledged to deploy 18 Alpha Jet aircraft and 300 military personnel to Türkiye. This represented the inaugural deployment of German combat forces overseas since World War II. The Netherlands consented to deploy two Patriot and two Hawk missile batteries, accompanied by 150 military troops. Belgium pledged to deliver 18 Mirage fighter jets, while Italy resolved to contribute 6 F-104 combat aircraft. </w:t>
      </w:r>
      <w:r w:rsidRPr="00035706">
        <w:rPr>
          <w:rFonts w:eastAsia="Calibri"/>
          <w:lang w:val="en-GB" w:eastAsia="en-US"/>
        </w:rPr>
        <w:t xml:space="preserve"> </w:t>
      </w:r>
    </w:p>
    <w:p w14:paraId="26308579" w14:textId="77777777" w:rsidR="00C004FE" w:rsidRDefault="009B1CAE" w:rsidP="009B1CAE">
      <w:pPr>
        <w:spacing w:after="160"/>
        <w:ind w:firstLine="0"/>
        <w:rPr>
          <w:rFonts w:eastAsia="Calibri"/>
          <w:rtl/>
          <w:lang w:val="en-GB" w:eastAsia="en-US"/>
        </w:rPr>
      </w:pPr>
      <w:r w:rsidRPr="00461114">
        <w:rPr>
          <w:rFonts w:eastAsia="Calibri"/>
          <w:lang w:val="en-GB" w:eastAsia="en-US"/>
        </w:rPr>
        <w:t>At Türkiye</w:t>
      </w:r>
      <w:r w:rsidRPr="00035706">
        <w:rPr>
          <w:rFonts w:eastAsia="Calibri"/>
          <w:lang w:val="en-GB" w:eastAsia="en-US"/>
        </w:rPr>
        <w:t>’</w:t>
      </w:r>
      <w:r w:rsidRPr="00461114">
        <w:rPr>
          <w:rFonts w:eastAsia="Calibri"/>
          <w:lang w:val="en-GB" w:eastAsia="en-US"/>
        </w:rPr>
        <w:t xml:space="preserve">s behest, 42 fighter jets and 516 military troops from the NATO Rapid Reaction Force, supplied by Germany, Belgium, and Italy, were sent to Malatya </w:t>
      </w:r>
      <w:proofErr w:type="spellStart"/>
      <w:r w:rsidRPr="00461114">
        <w:rPr>
          <w:rFonts w:eastAsia="Calibri"/>
          <w:lang w:val="en-GB" w:eastAsia="en-US"/>
        </w:rPr>
        <w:t>Erhaç</w:t>
      </w:r>
      <w:proofErr w:type="spellEnd"/>
      <w:r w:rsidRPr="00461114">
        <w:rPr>
          <w:rFonts w:eastAsia="Calibri"/>
          <w:lang w:val="en-GB" w:eastAsia="en-US"/>
        </w:rPr>
        <w:t xml:space="preserve"> Air Base. Subsequently in February, Germany resolved to dispatch two Roland and Hawk surface-to-air missile systems to safeguard its Alpha Jet aircraft stationed in Türkiye</w:t>
      </w:r>
      <w:r w:rsidRPr="00035706">
        <w:rPr>
          <w:rFonts w:eastAsia="Calibri"/>
          <w:lang w:val="en-GB" w:eastAsia="en-US"/>
        </w:rPr>
        <w:t xml:space="preserve"> </w:t>
      </w:r>
      <w:r w:rsidRPr="006F5998">
        <w:rPr>
          <w:rFonts w:eastAsia="Calibri"/>
          <w:lang w:val="en-GB" w:eastAsia="en-US"/>
        </w:rPr>
        <w:t>(</w:t>
      </w:r>
      <w:proofErr w:type="spellStart"/>
      <w:r w:rsidRPr="006F5998">
        <w:rPr>
          <w:rFonts w:eastAsia="Calibri"/>
          <w:lang w:val="en-GB" w:eastAsia="en-US"/>
        </w:rPr>
        <w:t>Keesing’s</w:t>
      </w:r>
      <w:proofErr w:type="spellEnd"/>
      <w:r w:rsidRPr="006F5998">
        <w:rPr>
          <w:rFonts w:eastAsia="Calibri"/>
          <w:lang w:val="en-GB" w:eastAsia="en-US"/>
        </w:rPr>
        <w:t xml:space="preserve"> Record of World Events, 1991)</w:t>
      </w:r>
      <w:r w:rsidRPr="00035706">
        <w:rPr>
          <w:rFonts w:eastAsia="Calibri"/>
          <w:lang w:val="en-GB" w:eastAsia="en-US"/>
        </w:rPr>
        <w:t>.</w:t>
      </w:r>
      <w:r>
        <w:rPr>
          <w:rFonts w:eastAsia="Calibri"/>
          <w:lang w:val="en-GB" w:eastAsia="en-US"/>
        </w:rPr>
        <w:t xml:space="preserve"> </w:t>
      </w:r>
    </w:p>
    <w:p w14:paraId="45842D58" w14:textId="77777777" w:rsidR="00C004FE" w:rsidRDefault="009B1CAE" w:rsidP="009B1CAE">
      <w:pPr>
        <w:spacing w:after="160"/>
        <w:ind w:firstLine="0"/>
        <w:rPr>
          <w:rFonts w:eastAsia="Calibri"/>
          <w:rtl/>
          <w:lang w:val="en-GB" w:eastAsia="en-US"/>
        </w:rPr>
      </w:pPr>
      <w:r w:rsidRPr="00461114">
        <w:rPr>
          <w:rFonts w:eastAsia="Calibri"/>
          <w:lang w:val="en-GB" w:eastAsia="en-US"/>
        </w:rPr>
        <w:t xml:space="preserve">Prior to the commencement of the Gulf War, </w:t>
      </w:r>
      <w:r>
        <w:rPr>
          <w:rFonts w:eastAsia="Calibri"/>
          <w:lang w:val="en-GB" w:eastAsia="en-US"/>
        </w:rPr>
        <w:t>US</w:t>
      </w:r>
      <w:r w:rsidRPr="00461114">
        <w:rPr>
          <w:rFonts w:eastAsia="Calibri"/>
          <w:lang w:val="en-GB" w:eastAsia="en-US"/>
        </w:rPr>
        <w:t xml:space="preserve"> Secretary of State James Baker visited Türkiye and departed Ankara having obtained substantial concessions to American demands. The demands predominantly encompassed authorisation to deploy F-111 bomber aircraft at İncirlik Air Base, the invitation of all components—both aerial and terrestrial—of NATO</w:t>
      </w:r>
      <w:r w:rsidRPr="00035706">
        <w:rPr>
          <w:rFonts w:eastAsia="Calibri"/>
          <w:lang w:val="en-GB" w:eastAsia="en-US"/>
        </w:rPr>
        <w:t>’</w:t>
      </w:r>
      <w:r w:rsidRPr="00461114">
        <w:rPr>
          <w:rFonts w:eastAsia="Calibri"/>
          <w:lang w:val="en-GB" w:eastAsia="en-US"/>
        </w:rPr>
        <w:t>s Rapid Reaction Force to Türkiye, permission for the stationing of four additional squadrons of fighter jets at İncirlik, Türkiye</w:t>
      </w:r>
      <w:r w:rsidRPr="00035706">
        <w:rPr>
          <w:rFonts w:eastAsia="Calibri"/>
          <w:lang w:val="en-GB" w:eastAsia="en-US"/>
        </w:rPr>
        <w:t>’</w:t>
      </w:r>
      <w:r w:rsidRPr="00461114">
        <w:rPr>
          <w:rFonts w:eastAsia="Calibri"/>
          <w:lang w:val="en-GB" w:eastAsia="en-US"/>
        </w:rPr>
        <w:t>s military augmentation along the Iraqi border, and the facilitation of refuelling for B-52 heavy bombers</w:t>
      </w:r>
      <w:r w:rsidRPr="00035706">
        <w:rPr>
          <w:rFonts w:eastAsia="Calibri"/>
          <w:lang w:val="en-GB" w:eastAsia="en-US"/>
        </w:rPr>
        <w:t xml:space="preserve"> (</w:t>
      </w:r>
      <w:proofErr w:type="spellStart"/>
      <w:r w:rsidRPr="00035706">
        <w:rPr>
          <w:rFonts w:eastAsia="Calibri"/>
          <w:lang w:val="en-GB" w:eastAsia="en-US"/>
        </w:rPr>
        <w:t>Güldemir</w:t>
      </w:r>
      <w:proofErr w:type="spellEnd"/>
      <w:r w:rsidRPr="00035706">
        <w:rPr>
          <w:rFonts w:eastAsia="Calibri"/>
          <w:lang w:val="en-GB" w:eastAsia="en-US"/>
        </w:rPr>
        <w:t>, 1991).</w:t>
      </w:r>
      <w:r>
        <w:rPr>
          <w:rFonts w:eastAsia="Calibri"/>
          <w:lang w:val="en-GB" w:eastAsia="en-US"/>
        </w:rPr>
        <w:t xml:space="preserve"> </w:t>
      </w:r>
    </w:p>
    <w:p w14:paraId="07C6ABA2" w14:textId="3E4DB0CB" w:rsidR="009B1CAE" w:rsidRDefault="009B1CAE" w:rsidP="009B1CAE">
      <w:pPr>
        <w:spacing w:after="160"/>
        <w:ind w:firstLine="0"/>
        <w:rPr>
          <w:rFonts w:eastAsia="Calibri"/>
          <w:rtl/>
          <w:lang w:val="en-GB" w:eastAsia="en-US"/>
        </w:rPr>
      </w:pPr>
      <w:r w:rsidRPr="00461114">
        <w:rPr>
          <w:rFonts w:eastAsia="Calibri"/>
          <w:lang w:val="en-GB" w:eastAsia="en-US"/>
        </w:rPr>
        <w:t>By permitting U</w:t>
      </w:r>
      <w:r>
        <w:rPr>
          <w:rFonts w:eastAsia="Calibri"/>
          <w:lang w:val="en-GB" w:eastAsia="en-US"/>
        </w:rPr>
        <w:t>S</w:t>
      </w:r>
      <w:r w:rsidRPr="00461114">
        <w:rPr>
          <w:rFonts w:eastAsia="Calibri"/>
          <w:lang w:val="en-GB" w:eastAsia="en-US"/>
        </w:rPr>
        <w:t xml:space="preserve"> jets to utilise İncirlik Air Base for the bombardment of Iraq, the Turkish</w:t>
      </w:r>
      <w:r>
        <w:rPr>
          <w:rFonts w:eastAsia="Calibri"/>
          <w:lang w:val="en-GB" w:eastAsia="en-US"/>
        </w:rPr>
        <w:t xml:space="preserve"> </w:t>
      </w:r>
      <w:r w:rsidRPr="00461114">
        <w:rPr>
          <w:rFonts w:eastAsia="Calibri"/>
          <w:lang w:val="en-GB" w:eastAsia="en-US"/>
        </w:rPr>
        <w:t xml:space="preserve">government—exercising the war authorisation granted by Parliament—became indirectly engaged in the conflict. </w:t>
      </w:r>
      <w:proofErr w:type="gramStart"/>
      <w:r w:rsidRPr="00461114">
        <w:rPr>
          <w:rFonts w:eastAsia="Calibri"/>
          <w:lang w:val="en-GB" w:eastAsia="en-US"/>
        </w:rPr>
        <w:t>Subsequent to</w:t>
      </w:r>
      <w:proofErr w:type="gramEnd"/>
      <w:r w:rsidRPr="00461114">
        <w:rPr>
          <w:rFonts w:eastAsia="Calibri"/>
          <w:lang w:val="en-GB" w:eastAsia="en-US"/>
        </w:rPr>
        <w:t xml:space="preserve"> the establishment of Turkish bases, the Turkish Ministry of Foreign Affairs issued a statement asserting that Türkiye will refrain from any actions against Iraq until provoked. Nonetheless, the Turkish government</w:t>
      </w:r>
      <w:r w:rsidRPr="00035706">
        <w:rPr>
          <w:rFonts w:eastAsia="Calibri"/>
          <w:lang w:val="en-GB" w:eastAsia="en-US"/>
        </w:rPr>
        <w:t>’</w:t>
      </w:r>
      <w:r w:rsidRPr="00461114">
        <w:rPr>
          <w:rFonts w:eastAsia="Calibri"/>
          <w:lang w:val="en-GB" w:eastAsia="en-US"/>
        </w:rPr>
        <w:t>s decision to permit NATO facilities in Türkiye to be utilised by U</w:t>
      </w:r>
      <w:r>
        <w:rPr>
          <w:rFonts w:eastAsia="Calibri"/>
          <w:lang w:val="en-GB" w:eastAsia="en-US"/>
        </w:rPr>
        <w:t>S</w:t>
      </w:r>
      <w:r w:rsidRPr="00461114">
        <w:rPr>
          <w:rFonts w:eastAsia="Calibri"/>
          <w:lang w:val="en-GB" w:eastAsia="en-US"/>
        </w:rPr>
        <w:t xml:space="preserve"> aeroplanes for operations was perceived by many as a potential provocation for Iraq to initiate an attack on Türkiye. During the Gulf War, Türkiye recognised that it could no longer remain detached from the issues of the Middle East region. It became increasingly evident that Türkiye was more preoccupied with the post-war developments than with the conflict itself.</w:t>
      </w:r>
      <w:r>
        <w:rPr>
          <w:rFonts w:eastAsia="Calibri"/>
          <w:lang w:val="en-GB" w:eastAsia="en-US"/>
        </w:rPr>
        <w:t xml:space="preserve"> </w:t>
      </w:r>
    </w:p>
    <w:p w14:paraId="1426ABC1" w14:textId="77777777" w:rsidR="00C004FE" w:rsidRDefault="009B1CAE" w:rsidP="009B1CAE">
      <w:pPr>
        <w:spacing w:after="160"/>
        <w:ind w:firstLine="0"/>
        <w:rPr>
          <w:rFonts w:eastAsia="Calibri"/>
          <w:rtl/>
          <w:lang w:val="en-GB" w:eastAsia="en-US"/>
        </w:rPr>
      </w:pPr>
      <w:r w:rsidRPr="00461114">
        <w:rPr>
          <w:rFonts w:eastAsia="Calibri"/>
          <w:lang w:val="en-GB" w:eastAsia="en-US"/>
        </w:rPr>
        <w:t>In evaluating the remarkable American-led coalition triumph over Saddam Hussein, the notion of what constitutes a danger to NATO security interests necessitates reconsideration. Had Saddam Hussein pushed his invasion into Saudi Arabia in August 1990 and conquered its crucial oil fields, Iraq would have physically controlled almost 40 percent of the world</w:t>
      </w:r>
      <w:r w:rsidRPr="00035706">
        <w:rPr>
          <w:rFonts w:eastAsia="Calibri"/>
          <w:lang w:val="en-GB" w:eastAsia="en-US"/>
        </w:rPr>
        <w:t>’</w:t>
      </w:r>
      <w:r w:rsidRPr="00461114">
        <w:rPr>
          <w:rFonts w:eastAsia="Calibri"/>
          <w:lang w:val="en-GB" w:eastAsia="en-US"/>
        </w:rPr>
        <w:t xml:space="preserve">s known oil reserves. The prospect of a merciless tyrant manipulating oil access, and consequently, the economic policies of Western developed nations, prompted an instant reassessment of how threats in the </w:t>
      </w:r>
      <w:r w:rsidRPr="00035706">
        <w:rPr>
          <w:rFonts w:eastAsia="Calibri"/>
          <w:lang w:val="en-GB" w:eastAsia="en-US"/>
        </w:rPr>
        <w:t>‘</w:t>
      </w:r>
      <w:r w:rsidRPr="00461114">
        <w:rPr>
          <w:rFonts w:eastAsia="Calibri"/>
          <w:lang w:val="en-GB" w:eastAsia="en-US"/>
        </w:rPr>
        <w:t>New World Order</w:t>
      </w:r>
      <w:r w:rsidRPr="00035706">
        <w:rPr>
          <w:rFonts w:eastAsia="Calibri"/>
          <w:lang w:val="en-GB" w:eastAsia="en-US"/>
        </w:rPr>
        <w:t>’</w:t>
      </w:r>
      <w:r w:rsidRPr="00461114">
        <w:rPr>
          <w:rFonts w:eastAsia="Calibri"/>
          <w:lang w:val="en-GB" w:eastAsia="en-US"/>
        </w:rPr>
        <w:t xml:space="preserve"> envisioned by President Bush would be characterised. Notably, </w:t>
      </w:r>
      <w:proofErr w:type="gramStart"/>
      <w:r w:rsidRPr="00461114">
        <w:rPr>
          <w:rFonts w:eastAsia="Calibri"/>
          <w:lang w:val="en-GB" w:eastAsia="en-US"/>
        </w:rPr>
        <w:t>the majority of</w:t>
      </w:r>
      <w:proofErr w:type="gramEnd"/>
      <w:r w:rsidRPr="00461114">
        <w:rPr>
          <w:rFonts w:eastAsia="Calibri"/>
          <w:lang w:val="en-GB" w:eastAsia="en-US"/>
        </w:rPr>
        <w:t xml:space="preserve"> NATO member states, in conjunction with 13 additional nations, concluded that it was in their national interest to deploy forces to participate in the anti-Iraq alliance. </w:t>
      </w:r>
    </w:p>
    <w:p w14:paraId="4EDA1477" w14:textId="2E7D3352" w:rsidR="009B1CAE" w:rsidRDefault="009B1CAE" w:rsidP="009B1CAE">
      <w:pPr>
        <w:spacing w:after="160"/>
        <w:ind w:firstLine="0"/>
        <w:rPr>
          <w:rFonts w:eastAsia="Calibri"/>
          <w:rtl/>
          <w:lang w:val="en-GB" w:eastAsia="en-US"/>
        </w:rPr>
      </w:pPr>
      <w:r w:rsidRPr="00461114">
        <w:rPr>
          <w:rFonts w:eastAsia="Calibri"/>
          <w:lang w:val="en-GB" w:eastAsia="en-US"/>
        </w:rPr>
        <w:t xml:space="preserve">The foundations of this remarkable military triumph in the Gulf were established during NATO and various </w:t>
      </w:r>
      <w:r w:rsidRPr="00035706">
        <w:rPr>
          <w:rFonts w:eastAsia="Calibri"/>
          <w:lang w:val="en-GB" w:eastAsia="en-US"/>
        </w:rPr>
        <w:t>‘</w:t>
      </w:r>
      <w:proofErr w:type="spellStart"/>
      <w:r w:rsidRPr="00461114">
        <w:rPr>
          <w:rFonts w:eastAsia="Calibri"/>
          <w:lang w:val="en-GB" w:eastAsia="en-US"/>
        </w:rPr>
        <w:t>Reforger</w:t>
      </w:r>
      <w:proofErr w:type="spellEnd"/>
      <w:r w:rsidRPr="00035706">
        <w:rPr>
          <w:rFonts w:eastAsia="Calibri"/>
          <w:lang w:val="en-GB" w:eastAsia="en-US"/>
        </w:rPr>
        <w:t>’</w:t>
      </w:r>
      <w:r w:rsidRPr="00461114">
        <w:rPr>
          <w:rFonts w:eastAsia="Calibri"/>
          <w:lang w:val="en-GB" w:eastAsia="en-US"/>
        </w:rPr>
        <w:t xml:space="preserve"> exercises. Only 40 years of collaboration as Alliance members, supported by an integrated command and logistics framework, could have facilitated the relocation of the largest corps in the US Army (comprising over 75,000 soldiers, 36,000 vehicles, and 600 aircraft) from bases in Germany to Saudi Arabia in less than 90 days. Consequently, although the member states were instrumental in the military intervention against Saddam Hussein</w:t>
      </w:r>
      <w:r w:rsidRPr="00035706">
        <w:rPr>
          <w:rFonts w:eastAsia="Calibri"/>
          <w:lang w:val="en-GB" w:eastAsia="en-US"/>
        </w:rPr>
        <w:t>’</w:t>
      </w:r>
      <w:r w:rsidRPr="00461114">
        <w:rPr>
          <w:rFonts w:eastAsia="Calibri"/>
          <w:lang w:val="en-GB" w:eastAsia="en-US"/>
        </w:rPr>
        <w:t>s Iraq, their overall success was contingent upon NATO</w:t>
      </w:r>
      <w:r w:rsidRPr="00035706">
        <w:rPr>
          <w:rFonts w:eastAsia="Calibri"/>
          <w:lang w:val="en-GB" w:eastAsia="en-US"/>
        </w:rPr>
        <w:t>’</w:t>
      </w:r>
      <w:r w:rsidRPr="00461114">
        <w:rPr>
          <w:rFonts w:eastAsia="Calibri"/>
          <w:lang w:val="en-GB" w:eastAsia="en-US"/>
        </w:rPr>
        <w:t xml:space="preserve">s extensive collaboration over more than 40 years in both exercises and crises. Absent the US commitment </w:t>
      </w:r>
      <w:r w:rsidRPr="00461114">
        <w:rPr>
          <w:rFonts w:eastAsia="Calibri"/>
          <w:lang w:val="en-GB" w:eastAsia="en-US"/>
        </w:rPr>
        <w:lastRenderedPageBreak/>
        <w:t xml:space="preserve">to NATO, which accounted for 80 percent of logistical assistance, 75 percent of command and control, and 100 percent of strategic and operational intelligence, the deployment of forces </w:t>
      </w:r>
      <w:r>
        <w:rPr>
          <w:rFonts w:eastAsia="Calibri"/>
          <w:lang w:val="en-GB" w:eastAsia="en-US"/>
        </w:rPr>
        <w:t xml:space="preserve">from these </w:t>
      </w:r>
      <w:r w:rsidRPr="00461114">
        <w:rPr>
          <w:rFonts w:eastAsia="Calibri"/>
          <w:lang w:val="en-GB" w:eastAsia="en-US"/>
        </w:rPr>
        <w:t>states would have been unfeasible, let alone any tactical involvement</w:t>
      </w:r>
      <w:r w:rsidRPr="00035706">
        <w:rPr>
          <w:rFonts w:eastAsia="Calibri"/>
          <w:lang w:val="en-GB" w:eastAsia="en-US"/>
        </w:rPr>
        <w:t xml:space="preserve"> (Scott, 1993)</w:t>
      </w:r>
      <w:r w:rsidRPr="00461114">
        <w:rPr>
          <w:rFonts w:eastAsia="Calibri"/>
          <w:lang w:val="en-GB" w:eastAsia="en-US"/>
        </w:rPr>
        <w:t>.</w:t>
      </w:r>
    </w:p>
    <w:p w14:paraId="78BE79A5" w14:textId="77777777" w:rsidR="00C004FE" w:rsidRDefault="009B1CAE" w:rsidP="009B1CAE">
      <w:pPr>
        <w:spacing w:after="160"/>
        <w:ind w:firstLine="0"/>
        <w:rPr>
          <w:rtl/>
          <w:lang w:val="en-GB"/>
        </w:rPr>
      </w:pPr>
      <w:r>
        <w:rPr>
          <w:rFonts w:eastAsia="Calibri"/>
          <w:lang w:val="en-GB" w:eastAsia="en-US"/>
        </w:rPr>
        <w:t>As a matter of fact, s</w:t>
      </w:r>
      <w:r w:rsidRPr="00035706">
        <w:rPr>
          <w:rFonts w:eastAsia="Calibri"/>
          <w:lang w:val="en-GB" w:eastAsia="en-US"/>
        </w:rPr>
        <w:t xml:space="preserve">hould it choose, only NATO has the necessary forces, transport, command structures, and international unity to act in a resolute and cohesive manner in Iraq (Kurt, 2005). The only question </w:t>
      </w:r>
      <w:proofErr w:type="gramStart"/>
      <w:r w:rsidRPr="00035706">
        <w:rPr>
          <w:rFonts w:eastAsia="Calibri"/>
          <w:lang w:val="en-GB" w:eastAsia="en-US"/>
        </w:rPr>
        <w:t>is,</w:t>
      </w:r>
      <w:proofErr w:type="gramEnd"/>
      <w:r w:rsidRPr="00035706">
        <w:rPr>
          <w:rFonts w:eastAsia="Calibri"/>
          <w:lang w:val="en-GB" w:eastAsia="en-US"/>
        </w:rPr>
        <w:t xml:space="preserve"> whether from the first Gulf War up to this date, NATO tried to use its power and hegemony to turn the situation into an emancipatory one, as its theoretical fou</w:t>
      </w:r>
      <w:r>
        <w:rPr>
          <w:rFonts w:eastAsia="Calibri"/>
          <w:lang w:val="en-GB" w:eastAsia="en-US"/>
        </w:rPr>
        <w:t>n</w:t>
      </w:r>
      <w:r w:rsidRPr="00035706">
        <w:rPr>
          <w:rFonts w:eastAsia="Calibri"/>
          <w:lang w:val="en-GB" w:eastAsia="en-US"/>
        </w:rPr>
        <w:t xml:space="preserve">dation is promising. Iraq is not a new issue at NATO Headquarters but </w:t>
      </w:r>
      <w:r>
        <w:rPr>
          <w:rFonts w:eastAsia="Calibri"/>
          <w:lang w:val="en-GB" w:eastAsia="en-US"/>
        </w:rPr>
        <w:t>when talking about the Gulf War, it is important to move to the year 2003</w:t>
      </w:r>
      <w:r w:rsidRPr="00C57196">
        <w:rPr>
          <w:rFonts w:eastAsia="Calibri"/>
          <w:lang w:val="en-GB" w:eastAsia="en-US"/>
        </w:rPr>
        <w:t>.</w:t>
      </w:r>
      <w:r>
        <w:rPr>
          <w:rFonts w:eastAsia="Calibri"/>
          <w:lang w:val="en-GB" w:eastAsia="en-US"/>
        </w:rPr>
        <w:t xml:space="preserve"> </w:t>
      </w:r>
      <w:r w:rsidRPr="000A1768">
        <w:rPr>
          <w:lang w:val="en-GB"/>
        </w:rPr>
        <w:t xml:space="preserve">During the 1990s, the NATO out of area idea was reaffirmed and implemented in adjacent regions; nonetheless, there was no compelling justification for the </w:t>
      </w:r>
      <w:r>
        <w:rPr>
          <w:lang w:val="en-GB"/>
        </w:rPr>
        <w:t>a</w:t>
      </w:r>
      <w:r w:rsidRPr="000A1768">
        <w:rPr>
          <w:lang w:val="en-GB"/>
        </w:rPr>
        <w:t>lliance to consider actions beyond its immediate borders (Voight, 1998). That was set to change on September 11</w:t>
      </w:r>
      <w:r>
        <w:rPr>
          <w:lang w:val="en-GB"/>
        </w:rPr>
        <w:t>, 2001</w:t>
      </w:r>
      <w:r w:rsidRPr="000A1768">
        <w:rPr>
          <w:lang w:val="en-GB"/>
        </w:rPr>
        <w:t xml:space="preserve"> (Kurt, 2005). </w:t>
      </w:r>
    </w:p>
    <w:p w14:paraId="1D6896A5" w14:textId="6F2EFD76" w:rsidR="00C004FE" w:rsidRDefault="009B1CAE" w:rsidP="009B1CAE">
      <w:pPr>
        <w:spacing w:after="160"/>
        <w:ind w:firstLine="0"/>
        <w:rPr>
          <w:rtl/>
          <w:lang w:val="en-GB"/>
        </w:rPr>
      </w:pPr>
      <w:r>
        <w:rPr>
          <w:lang w:val="en-GB"/>
        </w:rPr>
        <w:t>However, r</w:t>
      </w:r>
      <w:r w:rsidRPr="000A1768">
        <w:rPr>
          <w:lang w:val="en-GB"/>
        </w:rPr>
        <w:t xml:space="preserve">egardless of the emergence of the new international order, oil </w:t>
      </w:r>
      <w:r>
        <w:rPr>
          <w:lang w:val="en-GB"/>
        </w:rPr>
        <w:t>continued</w:t>
      </w:r>
      <w:r w:rsidRPr="000A1768">
        <w:rPr>
          <w:lang w:val="en-GB"/>
        </w:rPr>
        <w:t xml:space="preserve"> to be the strategic commodity essential to national policies and international politics (Yergin, 1991). Following the Gulf War, Saddam Hussein retained power and continued to exert considerable influence both domestically and throughout the Middle East, despite enduring political and economic sanctions imposed by the </w:t>
      </w:r>
      <w:r>
        <w:rPr>
          <w:lang w:val="en-GB"/>
        </w:rPr>
        <w:t>UN</w:t>
      </w:r>
      <w:r w:rsidRPr="000A1768">
        <w:rPr>
          <w:lang w:val="en-GB"/>
        </w:rPr>
        <w:t>. The U</w:t>
      </w:r>
      <w:r>
        <w:rPr>
          <w:lang w:val="en-GB"/>
        </w:rPr>
        <w:t>S</w:t>
      </w:r>
      <w:r w:rsidRPr="000A1768">
        <w:rPr>
          <w:lang w:val="en-GB"/>
        </w:rPr>
        <w:t>, despite Iraq</w:t>
      </w:r>
      <w:r w:rsidRPr="00035706">
        <w:rPr>
          <w:lang w:val="en-GB"/>
        </w:rPr>
        <w:t>’</w:t>
      </w:r>
      <w:r w:rsidRPr="000A1768">
        <w:rPr>
          <w:lang w:val="en-GB"/>
        </w:rPr>
        <w:t>s reduced military capability, continued to perceive Saddam</w:t>
      </w:r>
      <w:r w:rsidRPr="00035706">
        <w:rPr>
          <w:lang w:val="en-GB"/>
        </w:rPr>
        <w:t>’</w:t>
      </w:r>
      <w:r w:rsidRPr="000A1768">
        <w:rPr>
          <w:lang w:val="en-GB"/>
        </w:rPr>
        <w:t>s regime as a threat to its regional interests (Rumsfeld, 2002).</w:t>
      </w:r>
      <w:r w:rsidRPr="00035706">
        <w:rPr>
          <w:lang w:val="en-GB"/>
        </w:rPr>
        <w:t xml:space="preserve"> </w:t>
      </w:r>
      <w:r w:rsidRPr="000A1768">
        <w:rPr>
          <w:lang w:val="en-GB"/>
        </w:rPr>
        <w:t>Upon George W. Bush</w:t>
      </w:r>
      <w:r w:rsidRPr="00035706">
        <w:rPr>
          <w:lang w:val="en-GB"/>
        </w:rPr>
        <w:t>’</w:t>
      </w:r>
      <w:r w:rsidRPr="000A1768">
        <w:rPr>
          <w:lang w:val="en-GB"/>
        </w:rPr>
        <w:t xml:space="preserve">s ascension to the </w:t>
      </w:r>
      <w:r>
        <w:rPr>
          <w:lang w:val="en-GB"/>
        </w:rPr>
        <w:t>US</w:t>
      </w:r>
      <w:r w:rsidRPr="000A1768">
        <w:rPr>
          <w:lang w:val="en-GB"/>
        </w:rPr>
        <w:t xml:space="preserve"> Presidency in 2000, his government initiated political pressure on Iraq concerning its purported weapons of mass destruction (WMDs), seeking to garner international support for intervention. </w:t>
      </w:r>
    </w:p>
    <w:p w14:paraId="429901AD" w14:textId="77777777" w:rsidR="00C004FE" w:rsidRDefault="009B1CAE" w:rsidP="009B1CAE">
      <w:pPr>
        <w:spacing w:after="160"/>
        <w:ind w:firstLine="0"/>
        <w:rPr>
          <w:rtl/>
          <w:lang w:val="en-GB"/>
        </w:rPr>
      </w:pPr>
      <w:r w:rsidRPr="000A1768">
        <w:rPr>
          <w:lang w:val="en-GB"/>
        </w:rPr>
        <w:t>The Bush administration</w:t>
      </w:r>
      <w:r w:rsidRPr="00035706">
        <w:rPr>
          <w:lang w:val="en-GB"/>
        </w:rPr>
        <w:t>’</w:t>
      </w:r>
      <w:r w:rsidRPr="000A1768">
        <w:rPr>
          <w:lang w:val="en-GB"/>
        </w:rPr>
        <w:t xml:space="preserve">s assertive approach to Iraq was founded on the post-9/11 </w:t>
      </w:r>
      <w:r>
        <w:rPr>
          <w:lang w:val="en-GB"/>
        </w:rPr>
        <w:t>US</w:t>
      </w:r>
      <w:r w:rsidRPr="000A1768">
        <w:rPr>
          <w:lang w:val="en-GB"/>
        </w:rPr>
        <w:t xml:space="preserve"> defence strategy. This policy underscored pre-emptive strikes as a strategy to mitigate impending risks to U</w:t>
      </w:r>
      <w:r>
        <w:rPr>
          <w:lang w:val="en-GB"/>
        </w:rPr>
        <w:t>S</w:t>
      </w:r>
      <w:r w:rsidRPr="000A1768">
        <w:rPr>
          <w:lang w:val="en-GB"/>
        </w:rPr>
        <w:t xml:space="preserve"> interests, including at the cost of unilateral action (U</w:t>
      </w:r>
      <w:r>
        <w:rPr>
          <w:lang w:val="en-GB"/>
        </w:rPr>
        <w:t>S</w:t>
      </w:r>
      <w:r w:rsidRPr="000A1768">
        <w:rPr>
          <w:lang w:val="en-GB"/>
        </w:rPr>
        <w:t xml:space="preserve"> National Security Strategy, 2002). Iraq </w:t>
      </w:r>
      <w:r>
        <w:rPr>
          <w:lang w:val="en-GB"/>
        </w:rPr>
        <w:t xml:space="preserve">is an example </w:t>
      </w:r>
      <w:r w:rsidRPr="000A1768">
        <w:rPr>
          <w:lang w:val="en-GB"/>
        </w:rPr>
        <w:t>aligning with this strategy, predicated on assertions of weapons of mass destruction and affiliations with terrorist organisations (Leffler, 2004; Girdner, 2004).</w:t>
      </w:r>
      <w:r>
        <w:rPr>
          <w:rFonts w:eastAsia="Calibri"/>
          <w:lang w:val="en-GB" w:eastAsia="en-US"/>
        </w:rPr>
        <w:t xml:space="preserve"> </w:t>
      </w:r>
      <w:r w:rsidRPr="007E6F46">
        <w:rPr>
          <w:lang w:val="en-GB"/>
        </w:rPr>
        <w:t>The request</w:t>
      </w:r>
      <w:r w:rsidRPr="00035706">
        <w:rPr>
          <w:lang w:val="en-GB"/>
        </w:rPr>
        <w:t xml:space="preserve"> sparked intense debate within NATO. Key European allies—especially Germany, France, and Belgium—opposed military action without a </w:t>
      </w:r>
      <w:r>
        <w:rPr>
          <w:lang w:val="en-GB"/>
        </w:rPr>
        <w:t>UN</w:t>
      </w:r>
      <w:r w:rsidRPr="00035706">
        <w:rPr>
          <w:lang w:val="en-GB"/>
        </w:rPr>
        <w:t xml:space="preserve"> mandate and preferred a peaceful solution under the UN framework. The </w:t>
      </w:r>
      <w:r>
        <w:rPr>
          <w:lang w:val="en-GB"/>
        </w:rPr>
        <w:t>US,</w:t>
      </w:r>
      <w:r w:rsidRPr="00035706">
        <w:rPr>
          <w:lang w:val="en-GB"/>
        </w:rPr>
        <w:t xml:space="preserve"> frustrated with this stance, received stronger support from newer Eastern European NATO members, aligned with </w:t>
      </w:r>
      <w:r>
        <w:rPr>
          <w:lang w:val="en-GB"/>
        </w:rPr>
        <w:t>US</w:t>
      </w:r>
      <w:r w:rsidRPr="00035706">
        <w:rPr>
          <w:lang w:val="en-GB"/>
        </w:rPr>
        <w:t xml:space="preserve"> interests due to past political, military, and economic support during the post-Cold War period. This led to a division within NATO, with U</w:t>
      </w:r>
      <w:r>
        <w:rPr>
          <w:lang w:val="en-GB"/>
        </w:rPr>
        <w:t>S</w:t>
      </w:r>
      <w:r w:rsidRPr="00035706">
        <w:rPr>
          <w:lang w:val="en-GB"/>
        </w:rPr>
        <w:t xml:space="preserve"> officials referring to France and Germany as “Old Europe” and adopting a more rigid approach toward them.</w:t>
      </w:r>
      <w:r>
        <w:rPr>
          <w:rFonts w:eastAsia="Calibri"/>
          <w:lang w:val="en-GB" w:eastAsia="en-US"/>
        </w:rPr>
        <w:t xml:space="preserve"> </w:t>
      </w:r>
      <w:r w:rsidRPr="000A1768">
        <w:rPr>
          <w:lang w:val="en-GB"/>
        </w:rPr>
        <w:t>A primary factor for the NATO discord was the belief that acquiescing to U</w:t>
      </w:r>
      <w:r>
        <w:rPr>
          <w:lang w:val="en-GB"/>
        </w:rPr>
        <w:t>S</w:t>
      </w:r>
      <w:r w:rsidRPr="000A1768">
        <w:rPr>
          <w:lang w:val="en-GB"/>
        </w:rPr>
        <w:t xml:space="preserve"> demands would equate to sanctioning a conflict prior to the completion of UN diplomatic initiatives. </w:t>
      </w:r>
    </w:p>
    <w:p w14:paraId="3618C449" w14:textId="77777777" w:rsidR="00C004FE" w:rsidRDefault="009B1CAE" w:rsidP="009B1CAE">
      <w:pPr>
        <w:spacing w:after="160"/>
        <w:ind w:firstLine="0"/>
        <w:rPr>
          <w:rtl/>
          <w:lang w:val="en-GB"/>
        </w:rPr>
      </w:pPr>
      <w:r w:rsidRPr="000A1768">
        <w:rPr>
          <w:lang w:val="en-GB"/>
        </w:rPr>
        <w:t xml:space="preserve">France, Germany, Belgium, and Luxembourg cautioned that such actions would be perceived as war propaganda and indicated their readiness to exercise veto rights to obstruct any NATO resolution of that nature. </w:t>
      </w:r>
      <w:r>
        <w:rPr>
          <w:lang w:val="en-GB"/>
        </w:rPr>
        <w:t>After one month</w:t>
      </w:r>
      <w:r w:rsidRPr="000A1768">
        <w:rPr>
          <w:lang w:val="en-GB"/>
        </w:rPr>
        <w:t xml:space="preserve"> since the </w:t>
      </w:r>
      <w:r>
        <w:rPr>
          <w:lang w:val="en-GB"/>
        </w:rPr>
        <w:t>US</w:t>
      </w:r>
      <w:r w:rsidRPr="000A1768">
        <w:rPr>
          <w:lang w:val="en-GB"/>
        </w:rPr>
        <w:t xml:space="preserve"> filed its request for aid to NATO, no conclusive decision </w:t>
      </w:r>
      <w:r>
        <w:rPr>
          <w:lang w:val="en-GB"/>
        </w:rPr>
        <w:t xml:space="preserve">was available. </w:t>
      </w:r>
      <w:r w:rsidRPr="000A1768">
        <w:rPr>
          <w:lang w:val="en-GB"/>
        </w:rPr>
        <w:t>NATO Secretary General George Robertson</w:t>
      </w:r>
      <w:r>
        <w:rPr>
          <w:lang w:val="en-GB"/>
        </w:rPr>
        <w:t xml:space="preserve"> that time,</w:t>
      </w:r>
      <w:r w:rsidRPr="000A1768">
        <w:rPr>
          <w:lang w:val="en-GB"/>
        </w:rPr>
        <w:t xml:space="preserve"> intervened, proposing to restrict the </w:t>
      </w:r>
      <w:r>
        <w:rPr>
          <w:lang w:val="en-GB"/>
        </w:rPr>
        <w:t>US</w:t>
      </w:r>
      <w:r w:rsidRPr="000A1768">
        <w:rPr>
          <w:lang w:val="en-GB"/>
        </w:rPr>
        <w:t xml:space="preserve"> request solely to the defence of Türkiye. He commenced a one-week </w:t>
      </w:r>
      <w:r w:rsidRPr="00035706">
        <w:rPr>
          <w:lang w:val="en-GB"/>
        </w:rPr>
        <w:t>“</w:t>
      </w:r>
      <w:r w:rsidRPr="000A1768">
        <w:rPr>
          <w:lang w:val="en-GB"/>
        </w:rPr>
        <w:t>silence procedure,</w:t>
      </w:r>
      <w:r w:rsidRPr="00035706">
        <w:rPr>
          <w:lang w:val="en-GB"/>
        </w:rPr>
        <w:t>”</w:t>
      </w:r>
      <w:r w:rsidRPr="000A1768">
        <w:rPr>
          <w:lang w:val="en-GB"/>
        </w:rPr>
        <w:t xml:space="preserve"> a method inside NATO wherein, if no member state raises an objection during the designated timeframe, the plan </w:t>
      </w:r>
      <w:r>
        <w:rPr>
          <w:lang w:val="en-GB"/>
        </w:rPr>
        <w:t>would be</w:t>
      </w:r>
      <w:r w:rsidRPr="000A1768">
        <w:rPr>
          <w:lang w:val="en-GB"/>
        </w:rPr>
        <w:t xml:space="preserve"> deemed approved.</w:t>
      </w:r>
      <w:r>
        <w:rPr>
          <w:lang w:val="en-GB"/>
        </w:rPr>
        <w:t xml:space="preserve"> </w:t>
      </w:r>
      <w:r w:rsidRPr="000A1768">
        <w:rPr>
          <w:lang w:val="en-GB"/>
        </w:rPr>
        <w:t xml:space="preserve">Nevertheless, the problem intensified when France and Belgium disrupted the silence by vetoing the resolution, subsequently followed by Germany delivering a statement in support of them. This produced a fresh wave of friction inside NATO, resulting in disappointment notably for the </w:t>
      </w:r>
      <w:r>
        <w:rPr>
          <w:lang w:val="en-GB"/>
        </w:rPr>
        <w:t>UN</w:t>
      </w:r>
      <w:r w:rsidRPr="000A1768">
        <w:rPr>
          <w:lang w:val="en-GB"/>
        </w:rPr>
        <w:t xml:space="preserve"> and Türkiye, along with other member nations. </w:t>
      </w:r>
      <w:proofErr w:type="gramStart"/>
      <w:r w:rsidRPr="000A1768">
        <w:rPr>
          <w:lang w:val="en-GB"/>
        </w:rPr>
        <w:t>Subsequent to</w:t>
      </w:r>
      <w:proofErr w:type="gramEnd"/>
      <w:r w:rsidRPr="000A1768">
        <w:rPr>
          <w:lang w:val="en-GB"/>
        </w:rPr>
        <w:t xml:space="preserve"> the veto decision, France, Germany, and Belgium released a united statement elucidating that their dissent was aimed not at Türkiye, but against the </w:t>
      </w:r>
      <w:r>
        <w:rPr>
          <w:lang w:val="en-GB"/>
        </w:rPr>
        <w:t>US</w:t>
      </w:r>
      <w:r w:rsidRPr="000A1768">
        <w:rPr>
          <w:lang w:val="en-GB"/>
        </w:rPr>
        <w:t xml:space="preserve">. They confirmed that in the occurrence of a genuine </w:t>
      </w:r>
      <w:r w:rsidRPr="000A1768">
        <w:rPr>
          <w:lang w:val="en-GB"/>
        </w:rPr>
        <w:lastRenderedPageBreak/>
        <w:t xml:space="preserve">attack or threat against Türkiye, they would extend all requisite support within the NATO </w:t>
      </w:r>
      <w:r w:rsidRPr="002D4619">
        <w:rPr>
          <w:lang w:val="en-GB"/>
        </w:rPr>
        <w:t>framework (Colombo, 2024).</w:t>
      </w:r>
      <w:r w:rsidRPr="000A1768">
        <w:rPr>
          <w:lang w:val="en-GB"/>
        </w:rPr>
        <w:t xml:space="preserve"> These nations underscored their inclination to prioritise diplomatic resolutions and await the UN weapons inspectors</w:t>
      </w:r>
      <w:r w:rsidRPr="00035706">
        <w:rPr>
          <w:lang w:val="en-GB"/>
        </w:rPr>
        <w:t>’</w:t>
      </w:r>
      <w:r w:rsidRPr="000A1768">
        <w:rPr>
          <w:lang w:val="en-GB"/>
        </w:rPr>
        <w:t xml:space="preserve"> findings to the Security Council. This scenario, regarded as the most profound crisis in NATO</w:t>
      </w:r>
      <w:r w:rsidRPr="00035706">
        <w:rPr>
          <w:lang w:val="en-GB"/>
        </w:rPr>
        <w:t>’</w:t>
      </w:r>
      <w:r w:rsidRPr="000A1768">
        <w:rPr>
          <w:lang w:val="en-GB"/>
        </w:rPr>
        <w:t>s 53-year history, led Türkiye to use Article 4 of the NATO founding treaty, asserting that it perceived a threat and requested the initiation of war preparedness. Nevertheless, Türkiye</w:t>
      </w:r>
      <w:r w:rsidRPr="00035706">
        <w:rPr>
          <w:lang w:val="en-GB"/>
        </w:rPr>
        <w:t>’</w:t>
      </w:r>
      <w:r w:rsidRPr="000A1768">
        <w:rPr>
          <w:lang w:val="en-GB"/>
        </w:rPr>
        <w:t xml:space="preserve">s requests pursuant to Article 4 remained unaddressed following extensive </w:t>
      </w:r>
      <w:r w:rsidRPr="00347184">
        <w:rPr>
          <w:lang w:val="en-GB"/>
        </w:rPr>
        <w:t>deliberations (</w:t>
      </w:r>
      <w:proofErr w:type="spellStart"/>
      <w:r w:rsidRPr="00347184">
        <w:rPr>
          <w:lang w:val="en-GB"/>
        </w:rPr>
        <w:t>Gülbay</w:t>
      </w:r>
      <w:proofErr w:type="spellEnd"/>
      <w:r w:rsidRPr="00347184">
        <w:rPr>
          <w:lang w:val="en-GB"/>
        </w:rPr>
        <w:t>, 2022). Ultimately, following rigorous talks, the Defence Planning Committee approved Türkiye’s</w:t>
      </w:r>
      <w:r w:rsidRPr="000A1768">
        <w:rPr>
          <w:lang w:val="en-GB"/>
        </w:rPr>
        <w:t xml:space="preserve"> request. NATO consented to supply Türkiye with Patriot missiles, AWACS early-warning aircraft, and defensive measures against weapons of mass destruction. </w:t>
      </w:r>
    </w:p>
    <w:p w14:paraId="61308AF5" w14:textId="02E213A8" w:rsidR="009B1CAE" w:rsidRPr="00F41570" w:rsidRDefault="009B1CAE" w:rsidP="009B1CAE">
      <w:pPr>
        <w:spacing w:after="160"/>
        <w:ind w:firstLine="0"/>
        <w:rPr>
          <w:rFonts w:eastAsia="Calibri"/>
          <w:lang w:val="en-GB" w:eastAsia="en-US"/>
        </w:rPr>
      </w:pPr>
      <w:r w:rsidRPr="000A1768">
        <w:rPr>
          <w:lang w:val="en-GB"/>
        </w:rPr>
        <w:t xml:space="preserve">Throughout this period, Türkiye maintained a subdued stance and refrained from direct conflict with European allies, allowing the </w:t>
      </w:r>
      <w:r>
        <w:rPr>
          <w:lang w:val="en-GB"/>
        </w:rPr>
        <w:t>US</w:t>
      </w:r>
      <w:r w:rsidRPr="000A1768">
        <w:rPr>
          <w:lang w:val="en-GB"/>
        </w:rPr>
        <w:t xml:space="preserve"> to assume leadership in the situation. Notwithstanding the dissent from France, Germany, and Belgium, </w:t>
      </w:r>
      <w:proofErr w:type="gramStart"/>
      <w:r w:rsidRPr="000A1768">
        <w:rPr>
          <w:lang w:val="en-GB"/>
        </w:rPr>
        <w:t>the majority of</w:t>
      </w:r>
      <w:proofErr w:type="gramEnd"/>
      <w:r w:rsidRPr="000A1768">
        <w:rPr>
          <w:lang w:val="en-GB"/>
        </w:rPr>
        <w:t xml:space="preserve"> NATO countries unequivocally endorsed the </w:t>
      </w:r>
      <w:r>
        <w:rPr>
          <w:lang w:val="en-GB"/>
        </w:rPr>
        <w:t>US reflecting the power structure within NATO</w:t>
      </w:r>
      <w:r w:rsidRPr="000A1768">
        <w:rPr>
          <w:lang w:val="en-GB"/>
        </w:rPr>
        <w:t>.</w:t>
      </w:r>
      <w:r w:rsidRPr="00FC4FED">
        <w:rPr>
          <w:lang w:val="en-GB"/>
        </w:rPr>
        <w:t xml:space="preserve"> Interestingly, several European nations concluded that the US sought to utilise NATO to justify its intended attack of Iraq (</w:t>
      </w:r>
      <w:proofErr w:type="spellStart"/>
      <w:r w:rsidRPr="00FC4FED">
        <w:rPr>
          <w:lang w:val="en-GB"/>
        </w:rPr>
        <w:t>Müftüler</w:t>
      </w:r>
      <w:proofErr w:type="spellEnd"/>
      <w:r w:rsidRPr="00FC4FED">
        <w:rPr>
          <w:lang w:val="en-GB"/>
        </w:rPr>
        <w:t>-Bac, 2004)</w:t>
      </w:r>
      <w:r w:rsidRPr="000A1768">
        <w:rPr>
          <w:lang w:val="en-GB"/>
        </w:rPr>
        <w:t xml:space="preserve">. </w:t>
      </w:r>
      <w:r>
        <w:rPr>
          <w:lang w:val="en-GB"/>
        </w:rPr>
        <w:t>This was a clear indication of the contradiction between theoretical reality and practical reality leading to a non-emancipatory influence not only in Iraq, but in the whole region.</w:t>
      </w:r>
    </w:p>
    <w:p w14:paraId="1E4FB877" w14:textId="77777777" w:rsidR="009B1CAE" w:rsidRPr="00D83514" w:rsidRDefault="009B1CAE" w:rsidP="009B1CAE">
      <w:pPr>
        <w:numPr>
          <w:ilvl w:val="0"/>
          <w:numId w:val="74"/>
        </w:numPr>
        <w:rPr>
          <w:b/>
          <w:bCs/>
          <w:szCs w:val="24"/>
          <w:lang w:val="en-GB"/>
        </w:rPr>
      </w:pPr>
      <w:r w:rsidRPr="00D83514">
        <w:rPr>
          <w:b/>
          <w:bCs/>
          <w:szCs w:val="24"/>
          <w:lang w:val="en-GB"/>
        </w:rPr>
        <w:t>Implications and Conclusion</w:t>
      </w:r>
    </w:p>
    <w:p w14:paraId="07341264" w14:textId="77777777" w:rsidR="009B1CAE" w:rsidRDefault="009B1CAE" w:rsidP="009B1CAE">
      <w:pPr>
        <w:ind w:firstLine="0"/>
        <w:rPr>
          <w:rtl/>
          <w:lang w:val="en-GB"/>
        </w:rPr>
      </w:pPr>
      <w:r w:rsidRPr="00035706">
        <w:rPr>
          <w:lang w:val="en-GB"/>
        </w:rPr>
        <w:t xml:space="preserve">This research indicates that NATO‘s first involvement in the Gulf region was not a direct involvement. Instead, Iraq‘s invasion in Kuwait in August 1990, led to Türkiye‘s call for support from NATO. Although many researchers argue that this invasion also caused regional instability, after observing the Gulf war from the past to the present, it can be expressed that also the involvement of other countries were not successful in bringing stability. As a matter of fact, in August 1990, NATO, under the guidance of the </w:t>
      </w:r>
      <w:r>
        <w:rPr>
          <w:lang w:val="en-GB"/>
        </w:rPr>
        <w:t>US</w:t>
      </w:r>
      <w:r w:rsidRPr="00035706">
        <w:rPr>
          <w:lang w:val="en-GB"/>
        </w:rPr>
        <w:t xml:space="preserve">, responded by </w:t>
      </w:r>
      <w:proofErr w:type="gramStart"/>
      <w:r w:rsidRPr="00035706">
        <w:rPr>
          <w:lang w:val="en-GB"/>
        </w:rPr>
        <w:t>taking action</w:t>
      </w:r>
      <w:proofErr w:type="gramEnd"/>
      <w:r w:rsidRPr="00035706">
        <w:rPr>
          <w:lang w:val="en-GB"/>
        </w:rPr>
        <w:t>, although it faced internal disagreements on the extent of involvement. As known by the vast majority, NATO first was established with a focus on the European region. However, the alliance, by understanding the importance of its influence on the MENA region, expanded its role and sphere of influence under the title</w:t>
      </w:r>
      <w:r>
        <w:rPr>
          <w:lang w:val="en-GB"/>
        </w:rPr>
        <w:t xml:space="preserve"> “</w:t>
      </w:r>
      <w:r w:rsidRPr="00035706">
        <w:rPr>
          <w:lang w:val="en-GB"/>
        </w:rPr>
        <w:t>out of area</w:t>
      </w:r>
      <w:r>
        <w:rPr>
          <w:lang w:val="en-GB"/>
        </w:rPr>
        <w:t>” operations</w:t>
      </w:r>
      <w:r w:rsidRPr="00035706">
        <w:rPr>
          <w:lang w:val="en-GB"/>
        </w:rPr>
        <w:t>.</w:t>
      </w:r>
      <w:r>
        <w:rPr>
          <w:lang w:val="en-GB"/>
        </w:rPr>
        <w:t xml:space="preserve"> </w:t>
      </w:r>
      <w:r w:rsidRPr="00035706">
        <w:rPr>
          <w:lang w:val="en-GB"/>
        </w:rPr>
        <w:t xml:space="preserve">Interestingly, the situation in the Gulf area exposed NATO‘s internal dynamics. </w:t>
      </w:r>
    </w:p>
    <w:p w14:paraId="14ABA4AE" w14:textId="77777777" w:rsidR="009B1CAE" w:rsidRDefault="009B1CAE" w:rsidP="009B1CAE">
      <w:pPr>
        <w:ind w:firstLine="0"/>
        <w:rPr>
          <w:rtl/>
          <w:lang w:val="en-GB"/>
        </w:rPr>
      </w:pPr>
      <w:r w:rsidRPr="00035706">
        <w:rPr>
          <w:lang w:val="en-GB"/>
        </w:rPr>
        <w:t>It was a turning point in history reflecti</w:t>
      </w:r>
      <w:r>
        <w:rPr>
          <w:lang w:val="en-GB"/>
        </w:rPr>
        <w:t>ng</w:t>
      </w:r>
      <w:r w:rsidRPr="00035706">
        <w:rPr>
          <w:lang w:val="en-GB"/>
        </w:rPr>
        <w:t xml:space="preserve"> how some alliance members were hesitant to engage fully in military operations outside the alliance‘s geographic boundaries, while others, particularly the </w:t>
      </w:r>
      <w:r>
        <w:rPr>
          <w:lang w:val="en-GB"/>
        </w:rPr>
        <w:t>US</w:t>
      </w:r>
      <w:r w:rsidRPr="00035706">
        <w:rPr>
          <w:lang w:val="en-GB"/>
        </w:rPr>
        <w:t xml:space="preserve">, pushed for a more active role. The Gulf war at the same time, showcased NATO‘s military capabilities and the importance of the alliance‘s integrated command structure in conducting large-scale operations out of area. NATO‘s support for </w:t>
      </w:r>
      <w:r>
        <w:rPr>
          <w:lang w:val="en-GB"/>
        </w:rPr>
        <w:t>US</w:t>
      </w:r>
      <w:r w:rsidRPr="00035706">
        <w:rPr>
          <w:lang w:val="en-GB"/>
        </w:rPr>
        <w:t xml:space="preserve"> leadership in the coalition against Iraq demonstrated its role in political coordination and military logistics.</w:t>
      </w:r>
      <w:r>
        <w:rPr>
          <w:lang w:val="en-GB"/>
        </w:rPr>
        <w:t xml:space="preserve"> </w:t>
      </w:r>
      <w:r w:rsidRPr="00035706">
        <w:rPr>
          <w:lang w:val="en-GB"/>
        </w:rPr>
        <w:t xml:space="preserve">After the first Gulf war, NATO officially and publicly extended its role in peace and security beyond traditional territorial defence, pushing the alliance into broader geopolitical issues, particularly in the MENA region. NATO‘s experiences during the Gulf War laid the groundwork for future interventions, with the alliance contemplating how to handle threats in a </w:t>
      </w:r>
      <w:r>
        <w:rPr>
          <w:lang w:val="en-GB"/>
        </w:rPr>
        <w:t>“</w:t>
      </w:r>
      <w:r w:rsidRPr="00035706">
        <w:rPr>
          <w:lang w:val="en-GB"/>
        </w:rPr>
        <w:t>New World Order</w:t>
      </w:r>
      <w:r>
        <w:rPr>
          <w:lang w:val="en-GB"/>
        </w:rPr>
        <w:t>”</w:t>
      </w:r>
      <w:r w:rsidRPr="00035706">
        <w:rPr>
          <w:lang w:val="en-GB"/>
        </w:rPr>
        <w:t xml:space="preserve"> where oil and regional stability were key concerns. Unfortunately, and this is the main point of this research</w:t>
      </w:r>
      <w:r>
        <w:rPr>
          <w:lang w:val="en-GB"/>
        </w:rPr>
        <w:t>,</w:t>
      </w:r>
      <w:r w:rsidRPr="00035706">
        <w:rPr>
          <w:lang w:val="en-GB"/>
        </w:rPr>
        <w:t xml:space="preserve"> despite its security based and peaceful theoretical framework, NATO‘s practical actions in the Gulf raised important questions about its role in fostering a more emancipatory international order.</w:t>
      </w:r>
      <w:r>
        <w:rPr>
          <w:lang w:val="en-GB"/>
        </w:rPr>
        <w:t xml:space="preserve"> </w:t>
      </w:r>
    </w:p>
    <w:p w14:paraId="73647070" w14:textId="73B227BE" w:rsidR="009B1CAE" w:rsidRPr="001135F4" w:rsidRDefault="009B1CAE" w:rsidP="009B1CAE">
      <w:pPr>
        <w:ind w:firstLine="0"/>
        <w:rPr>
          <w:lang w:val="en-GB"/>
        </w:rPr>
      </w:pPr>
      <w:r w:rsidRPr="00035706">
        <w:rPr>
          <w:lang w:val="en-GB"/>
        </w:rPr>
        <w:t xml:space="preserve">The narrative continued into the 2000s, when the 9/11 attacks prompted further military engagements, particularly the 2003 Iraq War. NATO‘s involvement, especially in terms of strategic objectives and collective defence, evolved as the alliance faced new challenges in a post-Cold War world. This shift in NATO‘s strategic outlook, however, continues to raise </w:t>
      </w:r>
      <w:r w:rsidRPr="00035706">
        <w:rPr>
          <w:lang w:val="en-GB"/>
        </w:rPr>
        <w:lastRenderedPageBreak/>
        <w:t>questions about the contradiction between the theoretical foundation of the alliance and its practical implementations, especially regarding its use of power and hegemony as driving forces of an emancipatory influence. NATO‘s theoretical framework, promise international security. By considering its power and hegemony, one soon recognises that, if practically the alliance would follow its theoretical principles, its influence could turn into an emancipatory one. Therefore, its passive as well as active involvement in the Gulf, particularly the 2003 Iraq War, have often been criticised for pursuing strategic interests of single powerful states, including control over oil resources, at the expense of regional stability and humanitarian concerns. Thus, while NATO‘s operational success is evident, its long-term influence on the MENA and its ability to contribute to an emancipatory international system remain contentious as long as theoretical reality and practical reality do not align.</w:t>
      </w:r>
    </w:p>
    <w:p w14:paraId="6F3A7644" w14:textId="77777777" w:rsidR="009B1CAE" w:rsidRPr="00B11DBA" w:rsidRDefault="009B1CAE" w:rsidP="009B1CAE">
      <w:pPr>
        <w:pStyle w:val="Heading3"/>
        <w:numPr>
          <w:ilvl w:val="0"/>
          <w:numId w:val="0"/>
        </w:numPr>
        <w:spacing w:before="360"/>
        <w:rPr>
          <w:sz w:val="28"/>
          <w:szCs w:val="24"/>
          <w:lang w:val="de-DE"/>
        </w:rPr>
      </w:pPr>
      <w:r w:rsidRPr="00B11DBA">
        <w:rPr>
          <w:sz w:val="28"/>
          <w:szCs w:val="24"/>
          <w:lang w:val="de-DE"/>
        </w:rPr>
        <w:t xml:space="preserve">References </w:t>
      </w:r>
    </w:p>
    <w:p w14:paraId="30D7F907" w14:textId="77777777" w:rsidR="009B1CAE" w:rsidRPr="00675069" w:rsidRDefault="009B1CAE" w:rsidP="00C004FE">
      <w:pPr>
        <w:autoSpaceDE/>
        <w:autoSpaceDN/>
        <w:spacing w:before="0" w:after="80"/>
        <w:ind w:left="288" w:hanging="288"/>
        <w:rPr>
          <w:szCs w:val="24"/>
          <w:lang w:val="de-DE" w:eastAsia="de-DE"/>
        </w:rPr>
      </w:pPr>
      <w:r w:rsidRPr="00675069">
        <w:rPr>
          <w:szCs w:val="24"/>
          <w:lang w:val="de-DE" w:eastAsia="de-DE"/>
        </w:rPr>
        <w:t xml:space="preserve">Ganser, D. (2020). </w:t>
      </w:r>
      <w:r w:rsidRPr="00675069">
        <w:rPr>
          <w:i/>
          <w:iCs/>
          <w:szCs w:val="24"/>
          <w:lang w:val="de-DE" w:eastAsia="de-DE"/>
        </w:rPr>
        <w:t>Illegale Kriege: Wie die NATO-Länder die UNO sabotieren – eine Chronik von Kuba bis Syrien</w:t>
      </w:r>
      <w:r w:rsidRPr="00675069">
        <w:rPr>
          <w:szCs w:val="24"/>
          <w:lang w:val="de-DE" w:eastAsia="de-DE"/>
        </w:rPr>
        <w:t xml:space="preserve">. </w:t>
      </w:r>
      <w:r>
        <w:rPr>
          <w:szCs w:val="24"/>
          <w:lang w:val="de-DE" w:eastAsia="de-DE"/>
        </w:rPr>
        <w:t xml:space="preserve">Zürich: </w:t>
      </w:r>
      <w:r w:rsidRPr="00675069">
        <w:rPr>
          <w:szCs w:val="24"/>
          <w:lang w:val="de-DE" w:eastAsia="de-DE"/>
        </w:rPr>
        <w:t>Orell Füssli.</w:t>
      </w:r>
    </w:p>
    <w:p w14:paraId="687951CA" w14:textId="77777777" w:rsidR="009B1CAE" w:rsidRPr="00675069" w:rsidRDefault="009B1CAE" w:rsidP="00C004FE">
      <w:pPr>
        <w:autoSpaceDE/>
        <w:autoSpaceDN/>
        <w:spacing w:before="0" w:after="80"/>
        <w:ind w:left="288" w:hanging="288"/>
        <w:rPr>
          <w:szCs w:val="24"/>
          <w:lang w:val="de-DE" w:eastAsia="de-DE"/>
        </w:rPr>
      </w:pPr>
      <w:r w:rsidRPr="00675069">
        <w:rPr>
          <w:szCs w:val="24"/>
          <w:lang w:val="de-DE" w:eastAsia="de-DE"/>
        </w:rPr>
        <w:t xml:space="preserve">Khan, M. (1998). </w:t>
      </w:r>
      <w:r w:rsidRPr="00675069">
        <w:rPr>
          <w:i/>
          <w:iCs/>
          <w:szCs w:val="24"/>
          <w:lang w:val="de-DE" w:eastAsia="de-DE"/>
        </w:rPr>
        <w:t>Die geheime Geschichte der amerikanischen Kriege: Verschwörung und Krieg in der US-Außenpolitik</w:t>
      </w:r>
      <w:r w:rsidRPr="00675069">
        <w:rPr>
          <w:szCs w:val="24"/>
          <w:lang w:val="de-DE" w:eastAsia="de-DE"/>
        </w:rPr>
        <w:t xml:space="preserve">. </w:t>
      </w:r>
      <w:r>
        <w:rPr>
          <w:szCs w:val="24"/>
          <w:lang w:val="de-DE" w:eastAsia="de-DE"/>
        </w:rPr>
        <w:t xml:space="preserve">Rottenburg: </w:t>
      </w:r>
      <w:r w:rsidRPr="00675069">
        <w:rPr>
          <w:szCs w:val="24"/>
          <w:lang w:val="de-DE" w:eastAsia="de-DE"/>
        </w:rPr>
        <w:t>Gabert.</w:t>
      </w:r>
    </w:p>
    <w:p w14:paraId="1143A0D5" w14:textId="77777777" w:rsidR="009B1CAE" w:rsidRPr="00675069" w:rsidRDefault="009B1CAE" w:rsidP="00C004FE">
      <w:pPr>
        <w:autoSpaceDE/>
        <w:autoSpaceDN/>
        <w:spacing w:before="0" w:after="80"/>
        <w:ind w:left="288" w:hanging="288"/>
        <w:rPr>
          <w:szCs w:val="24"/>
          <w:lang w:val="de-DE" w:eastAsia="de-DE"/>
        </w:rPr>
      </w:pPr>
      <w:r w:rsidRPr="00B11DBA">
        <w:rPr>
          <w:szCs w:val="24"/>
          <w:lang w:val="de-DE" w:eastAsia="de-DE"/>
        </w:rPr>
        <w:t xml:space="preserve">Scott, B. (1993). </w:t>
      </w:r>
      <w:r w:rsidRPr="00675069">
        <w:rPr>
          <w:szCs w:val="24"/>
          <w:lang w:val="en-GB" w:eastAsia="de-DE"/>
        </w:rPr>
        <w:t xml:space="preserve">NATO after Iraq: Out of sector, or out of business? </w:t>
      </w:r>
      <w:r w:rsidRPr="00675069">
        <w:rPr>
          <w:i/>
          <w:iCs/>
          <w:szCs w:val="24"/>
          <w:lang w:val="de-DE" w:eastAsia="de-DE"/>
        </w:rPr>
        <w:t>European Security</w:t>
      </w:r>
      <w:r w:rsidRPr="00675069">
        <w:rPr>
          <w:szCs w:val="24"/>
          <w:lang w:val="de-DE" w:eastAsia="de-DE"/>
        </w:rPr>
        <w:t xml:space="preserve">, </w:t>
      </w:r>
      <w:r w:rsidRPr="00675069">
        <w:rPr>
          <w:i/>
          <w:iCs/>
          <w:szCs w:val="24"/>
          <w:lang w:val="de-DE" w:eastAsia="de-DE"/>
        </w:rPr>
        <w:t>2</w:t>
      </w:r>
      <w:r w:rsidRPr="00675069">
        <w:rPr>
          <w:szCs w:val="24"/>
          <w:lang w:val="de-DE" w:eastAsia="de-DE"/>
        </w:rPr>
        <w:t xml:space="preserve">(2), 227–243. </w:t>
      </w:r>
      <w:r>
        <w:rPr>
          <w:szCs w:val="24"/>
          <w:lang w:val="de-DE" w:eastAsia="de-DE"/>
        </w:rPr>
        <w:fldChar w:fldCharType="begin"/>
      </w:r>
      <w:r>
        <w:rPr>
          <w:szCs w:val="24"/>
          <w:lang w:val="de-DE" w:eastAsia="de-DE"/>
        </w:rPr>
        <w:instrText xml:space="preserve"> HYPERLINK "</w:instrText>
      </w:r>
      <w:r w:rsidRPr="00675069">
        <w:rPr>
          <w:szCs w:val="24"/>
          <w:lang w:val="de-DE" w:eastAsia="de-DE"/>
        </w:rPr>
        <w:instrText>https://doi.org/10.1080/09662839308407120</w:instrText>
      </w:r>
      <w:r>
        <w:rPr>
          <w:szCs w:val="24"/>
          <w:lang w:val="de-DE" w:eastAsia="de-DE"/>
        </w:rPr>
        <w:instrText xml:space="preserve">" </w:instrText>
      </w:r>
      <w:r>
        <w:rPr>
          <w:szCs w:val="24"/>
          <w:lang w:val="de-DE" w:eastAsia="de-DE"/>
        </w:rPr>
        <w:fldChar w:fldCharType="separate"/>
      </w:r>
      <w:r w:rsidRPr="00360139">
        <w:rPr>
          <w:rStyle w:val="Hyperlink"/>
          <w:szCs w:val="24"/>
          <w:lang w:val="de-DE" w:eastAsia="de-DE"/>
        </w:rPr>
        <w:t>https://doi.org/10.1080/09662839308407120</w:t>
      </w:r>
      <w:r>
        <w:rPr>
          <w:szCs w:val="24"/>
          <w:lang w:val="de-DE" w:eastAsia="de-DE"/>
        </w:rPr>
        <w:fldChar w:fldCharType="end"/>
      </w:r>
      <w:r>
        <w:rPr>
          <w:szCs w:val="24"/>
          <w:lang w:val="de-DE" w:eastAsia="de-DE"/>
        </w:rPr>
        <w:t xml:space="preserve"> </w:t>
      </w:r>
    </w:p>
    <w:p w14:paraId="6A7DB4D0" w14:textId="77777777" w:rsidR="009B1CAE" w:rsidRPr="00B11DBA" w:rsidRDefault="009B1CAE" w:rsidP="00C004FE">
      <w:pPr>
        <w:autoSpaceDE/>
        <w:autoSpaceDN/>
        <w:spacing w:before="0" w:after="80"/>
        <w:ind w:left="288" w:hanging="288"/>
        <w:rPr>
          <w:szCs w:val="24"/>
          <w:lang w:val="en-GB" w:eastAsia="de-DE"/>
        </w:rPr>
      </w:pPr>
      <w:r w:rsidRPr="00675069">
        <w:rPr>
          <w:szCs w:val="24"/>
          <w:lang w:val="en-GB" w:eastAsia="de-DE"/>
        </w:rPr>
        <w:t xml:space="preserve">Barry, J. (1992, July 13). Sea of lies. </w:t>
      </w:r>
      <w:r w:rsidRPr="00B11DBA">
        <w:rPr>
          <w:i/>
          <w:iCs/>
          <w:szCs w:val="24"/>
          <w:lang w:val="en-GB" w:eastAsia="de-DE"/>
        </w:rPr>
        <w:t>Newsweek</w:t>
      </w:r>
      <w:r w:rsidRPr="00B11DBA">
        <w:rPr>
          <w:szCs w:val="24"/>
          <w:lang w:val="en-GB" w:eastAsia="de-DE"/>
        </w:rPr>
        <w:t>.</w:t>
      </w:r>
      <w:r w:rsidRPr="00B11DBA">
        <w:t xml:space="preserve"> </w:t>
      </w:r>
      <w:hyperlink r:id="rId8" w:history="1">
        <w:r w:rsidRPr="003514BE">
          <w:rPr>
            <w:rStyle w:val="Hyperlink"/>
            <w:szCs w:val="24"/>
            <w:lang w:val="en-GB" w:eastAsia="de-DE"/>
          </w:rPr>
          <w:t>https://www.newsweek.com/sea-lies-200118</w:t>
        </w:r>
      </w:hyperlink>
      <w:r>
        <w:rPr>
          <w:szCs w:val="24"/>
          <w:lang w:val="en-GB" w:eastAsia="de-DE"/>
        </w:rPr>
        <w:t xml:space="preserve"> </w:t>
      </w:r>
    </w:p>
    <w:p w14:paraId="738E7A8F" w14:textId="77777777" w:rsidR="009B1CAE" w:rsidRPr="00B11DBA" w:rsidRDefault="009B1CAE" w:rsidP="00C004FE">
      <w:pPr>
        <w:autoSpaceDE/>
        <w:autoSpaceDN/>
        <w:spacing w:before="0" w:after="80"/>
        <w:ind w:left="288" w:hanging="288"/>
        <w:rPr>
          <w:szCs w:val="24"/>
          <w:lang w:val="en-GB" w:eastAsia="de-DE"/>
        </w:rPr>
      </w:pPr>
      <w:r w:rsidRPr="002D2491">
        <w:rPr>
          <w:szCs w:val="24"/>
          <w:lang w:eastAsia="de-DE"/>
        </w:rPr>
        <w:t>Bogers, M., Beeres, R., &amp; Bollen, M. (2022). NATO burden sharing research along three paradigms. </w:t>
      </w:r>
      <w:r w:rsidRPr="002D2491">
        <w:rPr>
          <w:i/>
          <w:iCs/>
          <w:szCs w:val="24"/>
          <w:lang w:eastAsia="de-DE"/>
        </w:rPr>
        <w:t>Defence and Peace Economics</w:t>
      </w:r>
      <w:r w:rsidRPr="002D2491">
        <w:rPr>
          <w:szCs w:val="24"/>
          <w:lang w:eastAsia="de-DE"/>
        </w:rPr>
        <w:t>, </w:t>
      </w:r>
      <w:r w:rsidRPr="002D2491">
        <w:rPr>
          <w:i/>
          <w:iCs/>
          <w:szCs w:val="24"/>
          <w:lang w:eastAsia="de-DE"/>
        </w:rPr>
        <w:t>33</w:t>
      </w:r>
      <w:r w:rsidRPr="002D2491">
        <w:rPr>
          <w:szCs w:val="24"/>
          <w:lang w:eastAsia="de-DE"/>
        </w:rPr>
        <w:t>(5), 534-547.</w:t>
      </w:r>
      <w:r w:rsidRPr="00682D75">
        <w:t xml:space="preserve"> </w:t>
      </w:r>
      <w:r w:rsidRPr="00682D75">
        <w:rPr>
          <w:szCs w:val="24"/>
          <w:lang w:eastAsia="de-DE"/>
        </w:rPr>
        <w:fldChar w:fldCharType="begin"/>
      </w:r>
      <w:r w:rsidRPr="00682D75">
        <w:rPr>
          <w:szCs w:val="24"/>
          <w:lang w:eastAsia="de-DE"/>
        </w:rPr>
        <w:instrText xml:space="preserve"> HYPERLINK "https://doi.org/10.1080/10242694.2020.1819135" \t "_blank" </w:instrText>
      </w:r>
      <w:r w:rsidRPr="00682D75">
        <w:rPr>
          <w:szCs w:val="24"/>
          <w:lang w:eastAsia="de-DE"/>
        </w:rPr>
        <w:fldChar w:fldCharType="separate"/>
      </w:r>
      <w:r w:rsidRPr="00682D75">
        <w:rPr>
          <w:rStyle w:val="Hyperlink"/>
          <w:szCs w:val="24"/>
          <w:lang w:eastAsia="de-DE"/>
        </w:rPr>
        <w:t>https://doi.org/10.1080/10242694.2020.1819135</w:t>
      </w:r>
      <w:r w:rsidRPr="00682D75">
        <w:rPr>
          <w:szCs w:val="24"/>
          <w:lang w:eastAsia="de-DE"/>
        </w:rPr>
        <w:fldChar w:fldCharType="end"/>
      </w:r>
    </w:p>
    <w:p w14:paraId="3C00A87A"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Bush, G., &amp; Scowcroft, B. (1998). </w:t>
      </w:r>
      <w:r w:rsidRPr="00675069">
        <w:rPr>
          <w:i/>
          <w:iCs/>
          <w:szCs w:val="24"/>
          <w:lang w:val="en-GB" w:eastAsia="de-DE"/>
        </w:rPr>
        <w:t>A world transformed</w:t>
      </w:r>
      <w:r>
        <w:rPr>
          <w:szCs w:val="24"/>
          <w:lang w:val="en-GB" w:eastAsia="de-DE"/>
        </w:rPr>
        <w:t xml:space="preserve">. London: </w:t>
      </w:r>
      <w:r w:rsidRPr="00675069">
        <w:rPr>
          <w:szCs w:val="24"/>
          <w:lang w:val="en-GB" w:eastAsia="de-DE"/>
        </w:rPr>
        <w:t>Vintage Books.</w:t>
      </w:r>
    </w:p>
    <w:p w14:paraId="004C12C9" w14:textId="77777777" w:rsidR="009B1CAE" w:rsidRDefault="009B1CAE" w:rsidP="00C004FE">
      <w:pPr>
        <w:autoSpaceDE/>
        <w:autoSpaceDN/>
        <w:spacing w:before="0" w:after="80"/>
        <w:ind w:left="288" w:hanging="288"/>
        <w:rPr>
          <w:szCs w:val="24"/>
          <w:lang w:eastAsia="de-DE"/>
        </w:rPr>
      </w:pPr>
      <w:r w:rsidRPr="00B11DBA">
        <w:rPr>
          <w:szCs w:val="24"/>
          <w:lang w:eastAsia="de-DE"/>
        </w:rPr>
        <w:t xml:space="preserve">Clark, R. (1992). </w:t>
      </w:r>
      <w:r w:rsidRPr="00B11DBA">
        <w:rPr>
          <w:i/>
          <w:iCs/>
          <w:szCs w:val="24"/>
          <w:lang w:eastAsia="de-DE"/>
        </w:rPr>
        <w:t>The fire this time: US war crimes in the Gulf</w:t>
      </w:r>
      <w:r w:rsidRPr="00B11DBA">
        <w:rPr>
          <w:szCs w:val="24"/>
          <w:lang w:eastAsia="de-DE"/>
        </w:rPr>
        <w:t xml:space="preserve"> . New York: Thunder’s Mouth Press.</w:t>
      </w:r>
    </w:p>
    <w:p w14:paraId="017960EC" w14:textId="77777777" w:rsidR="009B1CAE" w:rsidRPr="00675069" w:rsidRDefault="009B1CAE" w:rsidP="00C004FE">
      <w:pPr>
        <w:autoSpaceDE/>
        <w:autoSpaceDN/>
        <w:spacing w:before="0" w:after="80"/>
        <w:ind w:left="288" w:hanging="288"/>
        <w:rPr>
          <w:szCs w:val="24"/>
          <w:lang w:val="en-GB" w:eastAsia="de-DE"/>
        </w:rPr>
      </w:pPr>
      <w:r w:rsidRPr="002D4619">
        <w:rPr>
          <w:szCs w:val="24"/>
          <w:lang w:eastAsia="de-DE"/>
        </w:rPr>
        <w:t>Colombo, S. (2024). NATO and the Southern Flank. In </w:t>
      </w:r>
      <w:r w:rsidRPr="002D4619">
        <w:rPr>
          <w:i/>
          <w:iCs/>
          <w:szCs w:val="24"/>
          <w:lang w:eastAsia="de-DE"/>
        </w:rPr>
        <w:t>Routledge Handbook of NATO</w:t>
      </w:r>
      <w:r w:rsidRPr="002D4619">
        <w:rPr>
          <w:szCs w:val="24"/>
          <w:lang w:eastAsia="de-DE"/>
        </w:rPr>
        <w:t> (pp. 302-313). Routledge.</w:t>
      </w:r>
      <w:r w:rsidRPr="00926671">
        <w:t xml:space="preserve"> </w:t>
      </w:r>
      <w:r w:rsidRPr="00926671">
        <w:rPr>
          <w:szCs w:val="24"/>
          <w:lang w:eastAsia="de-DE"/>
        </w:rPr>
        <w:fldChar w:fldCharType="begin"/>
      </w:r>
      <w:r w:rsidRPr="00926671">
        <w:rPr>
          <w:szCs w:val="24"/>
          <w:lang w:eastAsia="de-DE"/>
        </w:rPr>
        <w:instrText xml:space="preserve"> HYPERLINK "https://doi.org/10.4324/9781003364108-29" \t "_blank" </w:instrText>
      </w:r>
      <w:r w:rsidRPr="00926671">
        <w:rPr>
          <w:szCs w:val="24"/>
          <w:lang w:eastAsia="de-DE"/>
        </w:rPr>
        <w:fldChar w:fldCharType="separate"/>
      </w:r>
      <w:r w:rsidRPr="00926671">
        <w:rPr>
          <w:rStyle w:val="Hyperlink"/>
          <w:szCs w:val="24"/>
          <w:lang w:eastAsia="de-DE"/>
        </w:rPr>
        <w:t>https://doi.org/10.4324/9781003364108-29</w:t>
      </w:r>
      <w:r w:rsidRPr="00926671">
        <w:rPr>
          <w:szCs w:val="24"/>
          <w:lang w:eastAsia="de-DE"/>
        </w:rPr>
        <w:fldChar w:fldCharType="end"/>
      </w:r>
    </w:p>
    <w:p w14:paraId="2887DE2E"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Cumhuriyet. (1990, August 8). NATO </w:t>
      </w:r>
      <w:proofErr w:type="spellStart"/>
      <w:r w:rsidRPr="00675069">
        <w:rPr>
          <w:szCs w:val="24"/>
          <w:lang w:val="en-GB" w:eastAsia="de-DE"/>
        </w:rPr>
        <w:t>planları</w:t>
      </w:r>
      <w:proofErr w:type="spellEnd"/>
      <w:r w:rsidRPr="00675069">
        <w:rPr>
          <w:szCs w:val="24"/>
          <w:lang w:val="en-GB" w:eastAsia="de-DE"/>
        </w:rPr>
        <w:t xml:space="preserve"> </w:t>
      </w:r>
      <w:proofErr w:type="spellStart"/>
      <w:r w:rsidRPr="00675069">
        <w:rPr>
          <w:szCs w:val="24"/>
          <w:lang w:val="en-GB" w:eastAsia="de-DE"/>
        </w:rPr>
        <w:t>Ankara’da</w:t>
      </w:r>
      <w:proofErr w:type="spellEnd"/>
      <w:r w:rsidRPr="00675069">
        <w:rPr>
          <w:szCs w:val="24"/>
          <w:lang w:val="en-GB" w:eastAsia="de-DE"/>
        </w:rPr>
        <w:t xml:space="preserve">. </w:t>
      </w:r>
      <w:r w:rsidRPr="00675069">
        <w:rPr>
          <w:i/>
          <w:iCs/>
          <w:szCs w:val="24"/>
          <w:lang w:val="en-GB" w:eastAsia="de-DE"/>
        </w:rPr>
        <w:t>Cumhuriyet</w:t>
      </w:r>
      <w:r w:rsidRPr="00675069">
        <w:rPr>
          <w:szCs w:val="24"/>
          <w:lang w:val="en-GB" w:eastAsia="de-DE"/>
        </w:rPr>
        <w:t>, p. 14.</w:t>
      </w:r>
    </w:p>
    <w:p w14:paraId="7F636582" w14:textId="77777777" w:rsidR="009B1CAE" w:rsidRDefault="009B1CAE" w:rsidP="00C004FE">
      <w:pPr>
        <w:autoSpaceDE/>
        <w:autoSpaceDN/>
        <w:spacing w:before="0" w:after="80"/>
        <w:ind w:left="288" w:hanging="288"/>
        <w:rPr>
          <w:szCs w:val="24"/>
          <w:lang w:eastAsia="de-DE"/>
        </w:rPr>
      </w:pPr>
      <w:r w:rsidRPr="00EC28CD">
        <w:rPr>
          <w:szCs w:val="24"/>
          <w:lang w:eastAsia="de-DE"/>
        </w:rPr>
        <w:t xml:space="preserve">Curtis, M. (2008). </w:t>
      </w:r>
      <w:r w:rsidRPr="00EC28CD">
        <w:rPr>
          <w:i/>
          <w:iCs/>
          <w:szCs w:val="24"/>
          <w:lang w:eastAsia="de-DE"/>
        </w:rPr>
        <w:t>Web of deceit: Britain’s real foreign policy</w:t>
      </w:r>
      <w:r w:rsidRPr="00EC28CD">
        <w:rPr>
          <w:szCs w:val="24"/>
          <w:lang w:eastAsia="de-DE"/>
        </w:rPr>
        <w:t>. London: Random House.</w:t>
      </w:r>
    </w:p>
    <w:p w14:paraId="233A26BD" w14:textId="77777777" w:rsidR="009B1CAE" w:rsidRDefault="009B1CAE" w:rsidP="00C004FE">
      <w:pPr>
        <w:autoSpaceDE/>
        <w:autoSpaceDN/>
        <w:spacing w:before="0" w:after="80"/>
        <w:ind w:left="288" w:hanging="288"/>
        <w:rPr>
          <w:szCs w:val="24"/>
          <w:lang w:eastAsia="de-DE"/>
        </w:rPr>
      </w:pPr>
      <w:r w:rsidRPr="00EC28CD">
        <w:rPr>
          <w:szCs w:val="24"/>
          <w:lang w:eastAsia="de-DE"/>
        </w:rPr>
        <w:t xml:space="preserve">Fürtig, H. (2003). </w:t>
      </w:r>
      <w:r w:rsidRPr="00EC28CD">
        <w:rPr>
          <w:i/>
          <w:iCs/>
          <w:szCs w:val="24"/>
          <w:lang w:eastAsia="de-DE"/>
        </w:rPr>
        <w:t>Kleine Geschichte des Irak</w:t>
      </w:r>
      <w:r w:rsidRPr="00EC28CD">
        <w:rPr>
          <w:szCs w:val="24"/>
          <w:lang w:eastAsia="de-DE"/>
        </w:rPr>
        <w:t>. München: Verlag C.H. Beck.</w:t>
      </w:r>
    </w:p>
    <w:p w14:paraId="08ECD38A" w14:textId="77777777" w:rsidR="009B1CAE" w:rsidRDefault="009B1CAE" w:rsidP="00C004FE">
      <w:pPr>
        <w:autoSpaceDE/>
        <w:autoSpaceDN/>
        <w:spacing w:before="0" w:after="80"/>
        <w:ind w:left="288" w:hanging="288"/>
        <w:rPr>
          <w:szCs w:val="24"/>
          <w:lang w:val="en-GB" w:eastAsia="de-DE"/>
        </w:rPr>
      </w:pPr>
      <w:r w:rsidRPr="00EC28CD">
        <w:rPr>
          <w:szCs w:val="24"/>
          <w:lang w:val="de-DE" w:eastAsia="de-DE"/>
        </w:rPr>
        <w:t xml:space="preserve">Girdner, E. J. (2004). </w:t>
      </w:r>
      <w:r w:rsidRPr="00675069">
        <w:rPr>
          <w:i/>
          <w:iCs/>
          <w:szCs w:val="24"/>
          <w:lang w:val="en-GB" w:eastAsia="de-DE"/>
        </w:rPr>
        <w:t>Pre-emptive war: The case of Iraq</w:t>
      </w:r>
      <w:r w:rsidRPr="00675069">
        <w:rPr>
          <w:szCs w:val="24"/>
          <w:lang w:val="en-GB" w:eastAsia="de-DE"/>
        </w:rPr>
        <w:t xml:space="preserve">. </w:t>
      </w:r>
      <w:r w:rsidRPr="00675069">
        <w:rPr>
          <w:i/>
          <w:iCs/>
          <w:szCs w:val="24"/>
          <w:lang w:val="en-GB" w:eastAsia="de-DE"/>
        </w:rPr>
        <w:t>Perceptions: Journal of International Affairs</w:t>
      </w:r>
      <w:r w:rsidRPr="00675069">
        <w:rPr>
          <w:szCs w:val="24"/>
          <w:lang w:val="en-GB" w:eastAsia="de-DE"/>
        </w:rPr>
        <w:t xml:space="preserve">, </w:t>
      </w:r>
      <w:r w:rsidRPr="00675069">
        <w:rPr>
          <w:i/>
          <w:iCs/>
          <w:szCs w:val="24"/>
          <w:lang w:val="en-GB" w:eastAsia="de-DE"/>
        </w:rPr>
        <w:t>9</w:t>
      </w:r>
      <w:r w:rsidRPr="00675069">
        <w:rPr>
          <w:szCs w:val="24"/>
          <w:lang w:val="en-GB" w:eastAsia="de-DE"/>
        </w:rPr>
        <w:t>(4), Winter.</w:t>
      </w:r>
    </w:p>
    <w:p w14:paraId="007C156D" w14:textId="77777777" w:rsidR="009B1CAE" w:rsidRPr="00EC28CD" w:rsidRDefault="009B1CAE" w:rsidP="00C004FE">
      <w:pPr>
        <w:autoSpaceDE/>
        <w:autoSpaceDN/>
        <w:spacing w:before="0" w:after="80"/>
        <w:ind w:left="288" w:hanging="288"/>
        <w:rPr>
          <w:szCs w:val="24"/>
          <w:lang w:eastAsia="de-DE"/>
        </w:rPr>
      </w:pPr>
      <w:r w:rsidRPr="00A25858">
        <w:rPr>
          <w:szCs w:val="24"/>
          <w:lang w:eastAsia="de-DE"/>
        </w:rPr>
        <w:t>Gülbay, A. (2022). Turkey and the Gulf War, 1991: Reactions to the imposition of adventurism in the Grand National Assembly of Turkey. </w:t>
      </w:r>
      <w:r w:rsidRPr="00A25858">
        <w:rPr>
          <w:i/>
          <w:iCs/>
          <w:szCs w:val="24"/>
          <w:lang w:eastAsia="de-DE"/>
        </w:rPr>
        <w:t>Cumhuriyet Tarihi Araştırmaları Dergisi (CTAD)</w:t>
      </w:r>
      <w:r w:rsidRPr="00A25858">
        <w:rPr>
          <w:szCs w:val="24"/>
          <w:lang w:eastAsia="de-DE"/>
        </w:rPr>
        <w:t>, </w:t>
      </w:r>
      <w:r w:rsidRPr="00A25858">
        <w:rPr>
          <w:i/>
          <w:iCs/>
          <w:szCs w:val="24"/>
          <w:lang w:eastAsia="de-DE"/>
        </w:rPr>
        <w:t>18</w:t>
      </w:r>
      <w:r w:rsidRPr="00A25858">
        <w:rPr>
          <w:szCs w:val="24"/>
          <w:lang w:eastAsia="de-DE"/>
        </w:rPr>
        <w:t>(36), 1035-1062.</w:t>
      </w:r>
      <w:r w:rsidRPr="00EC28CD">
        <w:t xml:space="preserve"> </w:t>
      </w:r>
      <w:r>
        <w:rPr>
          <w:szCs w:val="24"/>
          <w:lang w:eastAsia="de-DE"/>
        </w:rPr>
        <w:fldChar w:fldCharType="begin"/>
      </w:r>
      <w:r>
        <w:rPr>
          <w:szCs w:val="24"/>
          <w:lang w:eastAsia="de-DE"/>
        </w:rPr>
        <w:instrText xml:space="preserve"> HYPERLINK "</w:instrText>
      </w:r>
      <w:r w:rsidRPr="00EC28CD">
        <w:rPr>
          <w:szCs w:val="24"/>
          <w:lang w:eastAsia="de-DE"/>
        </w:rPr>
        <w:instrText>https://ctad.hacettepe.edu.tr/18_36/16.pdf</w:instrText>
      </w:r>
      <w:r>
        <w:rPr>
          <w:szCs w:val="24"/>
          <w:lang w:eastAsia="de-DE"/>
        </w:rPr>
        <w:instrText xml:space="preserve">" </w:instrText>
      </w:r>
      <w:r>
        <w:rPr>
          <w:szCs w:val="24"/>
          <w:lang w:eastAsia="de-DE"/>
        </w:rPr>
        <w:fldChar w:fldCharType="separate"/>
      </w:r>
      <w:r w:rsidRPr="003514BE">
        <w:rPr>
          <w:rStyle w:val="Hyperlink"/>
          <w:szCs w:val="24"/>
          <w:lang w:eastAsia="de-DE"/>
        </w:rPr>
        <w:t>https://ctad.hacettepe.edu.tr/18_36/16.pdf</w:t>
      </w:r>
      <w:r>
        <w:rPr>
          <w:szCs w:val="24"/>
          <w:lang w:eastAsia="de-DE"/>
        </w:rPr>
        <w:fldChar w:fldCharType="end"/>
      </w:r>
      <w:r>
        <w:rPr>
          <w:szCs w:val="24"/>
          <w:lang w:eastAsia="de-DE"/>
        </w:rPr>
        <w:t xml:space="preserve"> </w:t>
      </w:r>
    </w:p>
    <w:p w14:paraId="334EA43B" w14:textId="77777777" w:rsidR="009B1CAE" w:rsidRDefault="009B1CAE" w:rsidP="00C004FE">
      <w:pPr>
        <w:autoSpaceDE/>
        <w:autoSpaceDN/>
        <w:spacing w:before="0" w:after="80"/>
        <w:ind w:left="288" w:hanging="288"/>
        <w:rPr>
          <w:szCs w:val="24"/>
          <w:lang w:val="en-GB" w:eastAsia="de-DE"/>
        </w:rPr>
      </w:pPr>
      <w:r w:rsidRPr="00EC28CD">
        <w:rPr>
          <w:szCs w:val="24"/>
          <w:lang w:eastAsia="de-DE"/>
        </w:rPr>
        <w:t xml:space="preserve">Güldemir, U. (1991, January 13). </w:t>
      </w:r>
      <w:proofErr w:type="spellStart"/>
      <w:r w:rsidRPr="00675069">
        <w:rPr>
          <w:szCs w:val="24"/>
          <w:lang w:val="en-GB" w:eastAsia="de-DE"/>
        </w:rPr>
        <w:t>Özal</w:t>
      </w:r>
      <w:proofErr w:type="spellEnd"/>
      <w:r w:rsidRPr="00675069">
        <w:rPr>
          <w:szCs w:val="24"/>
          <w:lang w:val="en-GB" w:eastAsia="de-DE"/>
        </w:rPr>
        <w:t xml:space="preserve"> </w:t>
      </w:r>
      <w:proofErr w:type="spellStart"/>
      <w:r w:rsidRPr="00675069">
        <w:rPr>
          <w:szCs w:val="24"/>
          <w:lang w:val="en-GB" w:eastAsia="de-DE"/>
        </w:rPr>
        <w:t>ABD’yi</w:t>
      </w:r>
      <w:proofErr w:type="spellEnd"/>
      <w:r w:rsidRPr="00675069">
        <w:rPr>
          <w:szCs w:val="24"/>
          <w:lang w:val="en-GB" w:eastAsia="de-DE"/>
        </w:rPr>
        <w:t xml:space="preserve"> </w:t>
      </w:r>
      <w:proofErr w:type="spellStart"/>
      <w:r w:rsidRPr="00675069">
        <w:rPr>
          <w:szCs w:val="24"/>
          <w:lang w:val="en-GB" w:eastAsia="de-DE"/>
        </w:rPr>
        <w:t>kırmıyor</w:t>
      </w:r>
      <w:proofErr w:type="spellEnd"/>
      <w:r w:rsidRPr="00675069">
        <w:rPr>
          <w:szCs w:val="24"/>
          <w:lang w:val="en-GB" w:eastAsia="de-DE"/>
        </w:rPr>
        <w:t xml:space="preserve">. </w:t>
      </w:r>
      <w:r w:rsidRPr="00675069">
        <w:rPr>
          <w:i/>
          <w:iCs/>
          <w:szCs w:val="24"/>
          <w:lang w:val="en-GB" w:eastAsia="de-DE"/>
        </w:rPr>
        <w:t>Cumhuriyet</w:t>
      </w:r>
      <w:r w:rsidRPr="00675069">
        <w:rPr>
          <w:szCs w:val="24"/>
          <w:lang w:val="en-GB" w:eastAsia="de-DE"/>
        </w:rPr>
        <w:t>, p. 11.</w:t>
      </w:r>
      <w:r w:rsidRPr="00EC28CD">
        <w:t xml:space="preserve"> </w:t>
      </w:r>
      <w:hyperlink r:id="rId9" w:history="1">
        <w:r w:rsidRPr="003514BE">
          <w:rPr>
            <w:rStyle w:val="Hyperlink"/>
            <w:szCs w:val="24"/>
            <w:lang w:val="en-GB" w:eastAsia="de-DE"/>
          </w:rPr>
          <w:t>https://egazete.cumhuriyet.com.tr/en/catalog/192/1991/1/13/2</w:t>
        </w:r>
      </w:hyperlink>
      <w:r>
        <w:rPr>
          <w:szCs w:val="24"/>
          <w:lang w:val="en-GB" w:eastAsia="de-DE"/>
        </w:rPr>
        <w:t xml:space="preserve"> </w:t>
      </w:r>
    </w:p>
    <w:p w14:paraId="6AFF36A9" w14:textId="77777777" w:rsidR="009B1CAE" w:rsidRPr="00EC28CD" w:rsidRDefault="009B1CAE" w:rsidP="00C004FE">
      <w:pPr>
        <w:autoSpaceDE/>
        <w:autoSpaceDN/>
        <w:spacing w:before="0" w:after="80"/>
        <w:ind w:left="288" w:hanging="288"/>
        <w:rPr>
          <w:szCs w:val="24"/>
          <w:lang w:val="fr-CH" w:eastAsia="de-DE"/>
        </w:rPr>
      </w:pPr>
      <w:r w:rsidRPr="007C3062">
        <w:rPr>
          <w:szCs w:val="24"/>
          <w:lang w:eastAsia="de-DE"/>
        </w:rPr>
        <w:t>Gouasmia, S. (2024). The United States of America's doctrine of intervention in international conflicts prior/post the Gulf War. </w:t>
      </w:r>
      <w:r w:rsidRPr="007C3062">
        <w:rPr>
          <w:i/>
          <w:iCs/>
          <w:szCs w:val="24"/>
          <w:lang w:eastAsia="de-DE"/>
        </w:rPr>
        <w:t>Annales de l’université d’Alger</w:t>
      </w:r>
      <w:r w:rsidRPr="007C3062">
        <w:rPr>
          <w:szCs w:val="24"/>
          <w:lang w:eastAsia="de-DE"/>
        </w:rPr>
        <w:t>, </w:t>
      </w:r>
      <w:r w:rsidRPr="007C3062">
        <w:rPr>
          <w:i/>
          <w:iCs/>
          <w:szCs w:val="24"/>
          <w:lang w:eastAsia="de-DE"/>
        </w:rPr>
        <w:t>38</w:t>
      </w:r>
      <w:r w:rsidRPr="007C3062">
        <w:rPr>
          <w:szCs w:val="24"/>
          <w:lang w:eastAsia="de-DE"/>
        </w:rPr>
        <w:t>(4), 30-51.</w:t>
      </w:r>
      <w:r w:rsidRPr="00EC28CD">
        <w:t xml:space="preserve"> </w:t>
      </w:r>
      <w:r>
        <w:rPr>
          <w:szCs w:val="24"/>
          <w:lang w:eastAsia="de-DE"/>
        </w:rPr>
        <w:fldChar w:fldCharType="begin"/>
      </w:r>
      <w:r>
        <w:rPr>
          <w:szCs w:val="24"/>
          <w:lang w:eastAsia="de-DE"/>
        </w:rPr>
        <w:instrText xml:space="preserve"> HYPERLINK "</w:instrText>
      </w:r>
      <w:r w:rsidRPr="00EC28CD">
        <w:rPr>
          <w:szCs w:val="24"/>
          <w:lang w:eastAsia="de-DE"/>
        </w:rPr>
        <w:instrText>https://asjp.cerist.dz/en/article/261955</w:instrText>
      </w:r>
      <w:r>
        <w:rPr>
          <w:szCs w:val="24"/>
          <w:lang w:eastAsia="de-DE"/>
        </w:rPr>
        <w:instrText xml:space="preserve">" </w:instrText>
      </w:r>
      <w:r>
        <w:rPr>
          <w:szCs w:val="24"/>
          <w:lang w:eastAsia="de-DE"/>
        </w:rPr>
        <w:fldChar w:fldCharType="separate"/>
      </w:r>
      <w:r w:rsidRPr="003514BE">
        <w:rPr>
          <w:rStyle w:val="Hyperlink"/>
          <w:szCs w:val="24"/>
          <w:lang w:eastAsia="de-DE"/>
        </w:rPr>
        <w:t>https://asjp.cerist.dz/en/article/261955</w:t>
      </w:r>
      <w:r>
        <w:rPr>
          <w:szCs w:val="24"/>
          <w:lang w:eastAsia="de-DE"/>
        </w:rPr>
        <w:fldChar w:fldCharType="end"/>
      </w:r>
      <w:r>
        <w:rPr>
          <w:szCs w:val="24"/>
          <w:lang w:eastAsia="de-DE"/>
        </w:rPr>
        <w:t xml:space="preserve"> </w:t>
      </w:r>
    </w:p>
    <w:p w14:paraId="5BE0E4D2" w14:textId="77777777" w:rsidR="009B1CAE" w:rsidRPr="00B11DBA" w:rsidRDefault="009B1CAE" w:rsidP="00C004FE">
      <w:pPr>
        <w:autoSpaceDE/>
        <w:autoSpaceDN/>
        <w:spacing w:before="0" w:after="80"/>
        <w:ind w:left="288" w:hanging="288"/>
        <w:rPr>
          <w:szCs w:val="24"/>
          <w:lang w:val="en-GB" w:eastAsia="de-DE"/>
        </w:rPr>
      </w:pPr>
      <w:proofErr w:type="spellStart"/>
      <w:r w:rsidRPr="00675069">
        <w:rPr>
          <w:szCs w:val="24"/>
          <w:lang w:val="fr-CH" w:eastAsia="de-DE"/>
        </w:rPr>
        <w:t>Jimbala</w:t>
      </w:r>
      <w:proofErr w:type="spellEnd"/>
      <w:r w:rsidRPr="00675069">
        <w:rPr>
          <w:szCs w:val="24"/>
          <w:lang w:val="fr-CH" w:eastAsia="de-DE"/>
        </w:rPr>
        <w:t xml:space="preserve">, S. C., &amp; Foster, P. K. (2010). </w:t>
      </w:r>
      <w:r w:rsidRPr="00675069">
        <w:rPr>
          <w:i/>
          <w:iCs/>
          <w:szCs w:val="24"/>
          <w:lang w:val="en-GB" w:eastAsia="de-DE"/>
        </w:rPr>
        <w:t>Multinational military intervention: NATO policy, strategy and burden sharing</w:t>
      </w:r>
      <w:r w:rsidRPr="00675069">
        <w:rPr>
          <w:szCs w:val="24"/>
          <w:lang w:val="en-GB" w:eastAsia="de-DE"/>
        </w:rPr>
        <w:t xml:space="preserve"> (p. 1). </w:t>
      </w:r>
      <w:r w:rsidRPr="00B11DBA">
        <w:rPr>
          <w:szCs w:val="24"/>
          <w:lang w:val="en-GB" w:eastAsia="de-DE"/>
        </w:rPr>
        <w:t>Routledge, Taylor &amp; Francis Group.</w:t>
      </w:r>
      <w:r w:rsidRPr="00EC28CD">
        <w:t xml:space="preserve"> </w:t>
      </w:r>
      <w:hyperlink r:id="rId10" w:tgtFrame="_blank" w:history="1">
        <w:r w:rsidRPr="00EC28CD">
          <w:rPr>
            <w:rStyle w:val="Hyperlink"/>
            <w:szCs w:val="24"/>
            <w:lang w:eastAsia="de-DE"/>
          </w:rPr>
          <w:t>https://doi.org/10.4324/9781315596310</w:t>
        </w:r>
      </w:hyperlink>
    </w:p>
    <w:p w14:paraId="5DB7326A" w14:textId="77777777" w:rsidR="009B1CAE" w:rsidRDefault="009B1CAE" w:rsidP="00C004FE">
      <w:pPr>
        <w:autoSpaceDE/>
        <w:autoSpaceDN/>
        <w:spacing w:before="0" w:after="80"/>
        <w:ind w:left="288" w:hanging="288"/>
        <w:rPr>
          <w:lang w:val="en-GB" w:eastAsia="de-DE"/>
        </w:rPr>
      </w:pPr>
      <w:proofErr w:type="spellStart"/>
      <w:r w:rsidRPr="00675069">
        <w:rPr>
          <w:lang w:val="en-GB" w:eastAsia="de-DE"/>
        </w:rPr>
        <w:lastRenderedPageBreak/>
        <w:t>Keesing’s</w:t>
      </w:r>
      <w:proofErr w:type="spellEnd"/>
      <w:r w:rsidRPr="00675069">
        <w:rPr>
          <w:lang w:val="en-GB" w:eastAsia="de-DE"/>
        </w:rPr>
        <w:t xml:space="preserve"> Record of World Events. (1991). 37(1), 37943.</w:t>
      </w:r>
      <w:r>
        <w:t xml:space="preserve"> </w:t>
      </w:r>
      <w:hyperlink r:id="rId11" w:history="1">
        <w:r w:rsidRPr="003514BE">
          <w:rPr>
            <w:rStyle w:val="Hyperlink"/>
            <w:lang w:val="en-GB" w:eastAsia="de-DE"/>
          </w:rPr>
          <w:t>https://archive.org/details/keesings-record-of-world-events_1991_37_index</w:t>
        </w:r>
      </w:hyperlink>
      <w:r>
        <w:rPr>
          <w:lang w:val="en-GB" w:eastAsia="de-DE"/>
        </w:rPr>
        <w:t xml:space="preserve"> </w:t>
      </w:r>
    </w:p>
    <w:p w14:paraId="5815FC73" w14:textId="77777777" w:rsidR="009B1CAE" w:rsidRDefault="009B1CAE" w:rsidP="00C004FE">
      <w:pPr>
        <w:autoSpaceDE/>
        <w:autoSpaceDN/>
        <w:spacing w:before="0" w:after="80"/>
        <w:ind w:left="288" w:hanging="288"/>
      </w:pPr>
      <w:r w:rsidRPr="00926671">
        <w:t>Leffler, M. P. (2004). Bush’s foreign policy. Foreign Policy, (144), September/October.</w:t>
      </w:r>
      <w:r w:rsidRPr="00B11DBA">
        <w:t xml:space="preserve"> </w:t>
      </w:r>
      <w:r w:rsidRPr="00B11DBA">
        <w:fldChar w:fldCharType="begin"/>
      </w:r>
      <w:r w:rsidRPr="00B11DBA">
        <w:instrText xml:space="preserve"> HYPERLINK "https://doi.org/10.2307/4152973" </w:instrText>
      </w:r>
      <w:r w:rsidRPr="00B11DBA">
        <w:fldChar w:fldCharType="separate"/>
      </w:r>
      <w:r w:rsidRPr="00B11DBA">
        <w:rPr>
          <w:rStyle w:val="Hyperlink"/>
        </w:rPr>
        <w:t>https://doi.org/10.2307/4152973</w:t>
      </w:r>
      <w:r w:rsidRPr="00B11DBA">
        <w:fldChar w:fldCharType="end"/>
      </w:r>
    </w:p>
    <w:p w14:paraId="5E82AFDA" w14:textId="77777777" w:rsidR="009B1CAE" w:rsidRPr="00675069" w:rsidRDefault="009B1CAE" w:rsidP="00C004FE">
      <w:pPr>
        <w:autoSpaceDE/>
        <w:autoSpaceDN/>
        <w:spacing w:before="0" w:after="80"/>
        <w:ind w:left="288" w:hanging="288"/>
        <w:rPr>
          <w:lang w:val="en-GB" w:eastAsia="de-DE"/>
        </w:rPr>
      </w:pPr>
      <w:r w:rsidRPr="00384496">
        <w:rPr>
          <w:lang w:eastAsia="de-DE"/>
        </w:rPr>
        <w:t>Menon, R., &amp; Wimbush, S. E. (2023). The US and Turkey: end of an alliance?. In Survival 49.2 (pp. 129-144). Routledge.</w:t>
      </w:r>
      <w:r w:rsidRPr="00682D75">
        <w:t xml:space="preserve"> </w:t>
      </w:r>
      <w:r w:rsidRPr="00682D75">
        <w:rPr>
          <w:lang w:eastAsia="de-DE"/>
        </w:rPr>
        <w:fldChar w:fldCharType="begin"/>
      </w:r>
      <w:r w:rsidRPr="00682D75">
        <w:rPr>
          <w:lang w:eastAsia="de-DE"/>
        </w:rPr>
        <w:instrText xml:space="preserve"> HYPERLINK "https://doi.org/10.4324/9781003420224-7" \t "_blank" </w:instrText>
      </w:r>
      <w:r w:rsidRPr="00682D75">
        <w:rPr>
          <w:lang w:eastAsia="de-DE"/>
        </w:rPr>
        <w:fldChar w:fldCharType="separate"/>
      </w:r>
      <w:r w:rsidRPr="00682D75">
        <w:rPr>
          <w:rStyle w:val="Hyperlink"/>
          <w:lang w:eastAsia="de-DE"/>
        </w:rPr>
        <w:t>https://doi.org/10.4324/9781003420224-7</w:t>
      </w:r>
      <w:r w:rsidRPr="00682D75">
        <w:rPr>
          <w:lang w:eastAsia="de-DE"/>
        </w:rPr>
        <w:fldChar w:fldCharType="end"/>
      </w:r>
    </w:p>
    <w:p w14:paraId="56A1237F"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Molla, A. (2009). </w:t>
      </w:r>
      <w:proofErr w:type="spellStart"/>
      <w:r w:rsidRPr="00675069">
        <w:rPr>
          <w:szCs w:val="24"/>
          <w:lang w:val="en-GB" w:eastAsia="de-DE"/>
        </w:rPr>
        <w:t>Soğuk</w:t>
      </w:r>
      <w:proofErr w:type="spellEnd"/>
      <w:r w:rsidRPr="00675069">
        <w:rPr>
          <w:szCs w:val="24"/>
          <w:lang w:val="en-GB" w:eastAsia="de-DE"/>
        </w:rPr>
        <w:t xml:space="preserve"> Savaş </w:t>
      </w:r>
      <w:proofErr w:type="spellStart"/>
      <w:r w:rsidRPr="00675069">
        <w:rPr>
          <w:szCs w:val="24"/>
          <w:lang w:val="en-GB" w:eastAsia="de-DE"/>
        </w:rPr>
        <w:t>sonrası</w:t>
      </w:r>
      <w:proofErr w:type="spellEnd"/>
      <w:r w:rsidRPr="00675069">
        <w:rPr>
          <w:szCs w:val="24"/>
          <w:lang w:val="en-GB" w:eastAsia="de-DE"/>
        </w:rPr>
        <w:t xml:space="preserve"> </w:t>
      </w:r>
      <w:proofErr w:type="spellStart"/>
      <w:r w:rsidRPr="00675069">
        <w:rPr>
          <w:szCs w:val="24"/>
          <w:lang w:val="en-GB" w:eastAsia="de-DE"/>
        </w:rPr>
        <w:t>Körfez</w:t>
      </w:r>
      <w:proofErr w:type="spellEnd"/>
      <w:r w:rsidRPr="00675069">
        <w:rPr>
          <w:szCs w:val="24"/>
          <w:lang w:val="en-GB" w:eastAsia="de-DE"/>
        </w:rPr>
        <w:t xml:space="preserve"> </w:t>
      </w:r>
      <w:proofErr w:type="spellStart"/>
      <w:r w:rsidRPr="00675069">
        <w:rPr>
          <w:szCs w:val="24"/>
          <w:lang w:val="en-GB" w:eastAsia="de-DE"/>
        </w:rPr>
        <w:t>krizleri</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Türkiye-ABD-NATO </w:t>
      </w:r>
      <w:proofErr w:type="spellStart"/>
      <w:r w:rsidRPr="00675069">
        <w:rPr>
          <w:szCs w:val="24"/>
          <w:lang w:val="en-GB" w:eastAsia="de-DE"/>
        </w:rPr>
        <w:t>ilişkileri</w:t>
      </w:r>
      <w:proofErr w:type="spellEnd"/>
      <w:r w:rsidRPr="00675069">
        <w:rPr>
          <w:szCs w:val="24"/>
          <w:lang w:val="en-GB" w:eastAsia="de-DE"/>
        </w:rPr>
        <w:t xml:space="preserve">. </w:t>
      </w:r>
      <w:proofErr w:type="spellStart"/>
      <w:r w:rsidRPr="00675069">
        <w:rPr>
          <w:i/>
          <w:iCs/>
          <w:szCs w:val="24"/>
          <w:lang w:val="en-GB" w:eastAsia="de-DE"/>
        </w:rPr>
        <w:t>Yönetim</w:t>
      </w:r>
      <w:proofErr w:type="spellEnd"/>
      <w:r w:rsidRPr="00675069">
        <w:rPr>
          <w:i/>
          <w:iCs/>
          <w:szCs w:val="24"/>
          <w:lang w:val="en-GB" w:eastAsia="de-DE"/>
        </w:rPr>
        <w:t xml:space="preserve"> </w:t>
      </w:r>
      <w:proofErr w:type="spellStart"/>
      <w:r w:rsidRPr="00675069">
        <w:rPr>
          <w:i/>
          <w:iCs/>
          <w:szCs w:val="24"/>
          <w:lang w:val="en-GB" w:eastAsia="de-DE"/>
        </w:rPr>
        <w:t>ve</w:t>
      </w:r>
      <w:proofErr w:type="spellEnd"/>
      <w:r w:rsidRPr="00675069">
        <w:rPr>
          <w:i/>
          <w:iCs/>
          <w:szCs w:val="24"/>
          <w:lang w:val="en-GB" w:eastAsia="de-DE"/>
        </w:rPr>
        <w:t xml:space="preserve"> Ekonomi </w:t>
      </w:r>
      <w:proofErr w:type="spellStart"/>
      <w:r w:rsidRPr="00675069">
        <w:rPr>
          <w:i/>
          <w:iCs/>
          <w:szCs w:val="24"/>
          <w:lang w:val="en-GB" w:eastAsia="de-DE"/>
        </w:rPr>
        <w:t>Araştırmaları</w:t>
      </w:r>
      <w:proofErr w:type="spellEnd"/>
      <w:r w:rsidRPr="00675069">
        <w:rPr>
          <w:i/>
          <w:iCs/>
          <w:szCs w:val="24"/>
          <w:lang w:val="en-GB" w:eastAsia="de-DE"/>
        </w:rPr>
        <w:t xml:space="preserve"> </w:t>
      </w:r>
      <w:proofErr w:type="spellStart"/>
      <w:r w:rsidRPr="00675069">
        <w:rPr>
          <w:i/>
          <w:iCs/>
          <w:szCs w:val="24"/>
          <w:lang w:val="en-GB" w:eastAsia="de-DE"/>
        </w:rPr>
        <w:t>Dergisi</w:t>
      </w:r>
      <w:proofErr w:type="spellEnd"/>
      <w:r w:rsidRPr="00675069">
        <w:rPr>
          <w:szCs w:val="24"/>
          <w:lang w:val="en-GB" w:eastAsia="de-DE"/>
        </w:rPr>
        <w:t xml:space="preserve">, </w:t>
      </w:r>
      <w:r w:rsidRPr="00675069">
        <w:rPr>
          <w:i/>
          <w:iCs/>
          <w:szCs w:val="24"/>
          <w:lang w:val="en-GB" w:eastAsia="de-DE"/>
        </w:rPr>
        <w:t>7</w:t>
      </w:r>
      <w:r w:rsidRPr="00675069">
        <w:rPr>
          <w:szCs w:val="24"/>
          <w:lang w:val="en-GB" w:eastAsia="de-DE"/>
        </w:rPr>
        <w:t>(11), 29–45.</w:t>
      </w:r>
      <w:r w:rsidRPr="00EC28CD">
        <w:t xml:space="preserve"> </w:t>
      </w:r>
      <w:hyperlink r:id="rId12" w:history="1">
        <w:r w:rsidRPr="003514BE">
          <w:rPr>
            <w:rStyle w:val="Hyperlink"/>
            <w:szCs w:val="24"/>
            <w:lang w:val="en-GB" w:eastAsia="de-DE"/>
          </w:rPr>
          <w:t>https://dergipark.org.tr/tr/pub/yead/issue/21820/234550#article_cite</w:t>
        </w:r>
      </w:hyperlink>
      <w:r>
        <w:rPr>
          <w:szCs w:val="24"/>
          <w:lang w:val="en-GB" w:eastAsia="de-DE"/>
        </w:rPr>
        <w:t xml:space="preserve"> </w:t>
      </w:r>
    </w:p>
    <w:p w14:paraId="7EDBAF27" w14:textId="77777777" w:rsidR="009B1CAE" w:rsidRDefault="009B1CAE" w:rsidP="00C004FE">
      <w:pPr>
        <w:autoSpaceDE/>
        <w:autoSpaceDN/>
        <w:spacing w:before="0" w:after="80"/>
        <w:ind w:left="288" w:hanging="288"/>
        <w:rPr>
          <w:szCs w:val="24"/>
          <w:lang w:eastAsia="de-DE"/>
        </w:rPr>
      </w:pPr>
      <w:r w:rsidRPr="00EC28CD">
        <w:rPr>
          <w:szCs w:val="24"/>
          <w:lang w:eastAsia="de-DE"/>
        </w:rPr>
        <w:t>Baç, M. M. (2004). Turkey’s Accession to the European Union: Institutional and Security Challenges. PERCEPTIONS: Journal of International Affairs, 9(3), 29-43.</w:t>
      </w:r>
      <w:r w:rsidRPr="00EC28CD">
        <w:t xml:space="preserve"> </w:t>
      </w:r>
      <w:r>
        <w:rPr>
          <w:szCs w:val="24"/>
          <w:lang w:eastAsia="de-DE"/>
        </w:rPr>
        <w:fldChar w:fldCharType="begin"/>
      </w:r>
      <w:r>
        <w:rPr>
          <w:szCs w:val="24"/>
          <w:lang w:eastAsia="de-DE"/>
        </w:rPr>
        <w:instrText xml:space="preserve"> HYPERLINK "</w:instrText>
      </w:r>
      <w:r w:rsidRPr="00EC28CD">
        <w:rPr>
          <w:szCs w:val="24"/>
          <w:lang w:eastAsia="de-DE"/>
        </w:rPr>
        <w:instrText>https://dergipark.org.tr/en/pub/perception/issue/49006/625174#article_cite</w:instrText>
      </w:r>
      <w:r>
        <w:rPr>
          <w:szCs w:val="24"/>
          <w:lang w:eastAsia="de-DE"/>
        </w:rPr>
        <w:instrText xml:space="preserve">" </w:instrText>
      </w:r>
      <w:r>
        <w:rPr>
          <w:szCs w:val="24"/>
          <w:lang w:eastAsia="de-DE"/>
        </w:rPr>
        <w:fldChar w:fldCharType="separate"/>
      </w:r>
      <w:r w:rsidRPr="003514BE">
        <w:rPr>
          <w:rStyle w:val="Hyperlink"/>
          <w:szCs w:val="24"/>
          <w:lang w:eastAsia="de-DE"/>
        </w:rPr>
        <w:t>https://dergipark.org.tr/en/pub/perception/issue/49006/625174#article_cite</w:t>
      </w:r>
      <w:r>
        <w:rPr>
          <w:szCs w:val="24"/>
          <w:lang w:eastAsia="de-DE"/>
        </w:rPr>
        <w:fldChar w:fldCharType="end"/>
      </w:r>
      <w:r>
        <w:rPr>
          <w:szCs w:val="24"/>
          <w:lang w:eastAsia="de-DE"/>
        </w:rPr>
        <w:t xml:space="preserve"> </w:t>
      </w:r>
    </w:p>
    <w:p w14:paraId="4CDB5A36" w14:textId="77777777" w:rsidR="009B1CAE" w:rsidRDefault="009B1CAE" w:rsidP="00C004FE">
      <w:pPr>
        <w:autoSpaceDE/>
        <w:autoSpaceDN/>
        <w:spacing w:before="0" w:after="80"/>
        <w:ind w:left="288" w:hanging="288"/>
        <w:rPr>
          <w:szCs w:val="24"/>
          <w:lang w:eastAsia="de-DE"/>
        </w:rPr>
      </w:pPr>
      <w:r w:rsidRPr="00961247">
        <w:rPr>
          <w:szCs w:val="24"/>
          <w:lang w:eastAsia="de-DE"/>
        </w:rPr>
        <w:t xml:space="preserve">Parris, M. R. (2005). On the future of US–Turkish relations. In M. Lake (Ed.), </w:t>
      </w:r>
      <w:r w:rsidRPr="00961247">
        <w:rPr>
          <w:i/>
          <w:iCs/>
          <w:szCs w:val="24"/>
          <w:lang w:eastAsia="de-DE"/>
        </w:rPr>
        <w:t>The EU &amp; Turkey: A glittering prize or a millstone?</w:t>
      </w:r>
      <w:r w:rsidRPr="00961247">
        <w:rPr>
          <w:szCs w:val="24"/>
          <w:lang w:eastAsia="de-DE"/>
        </w:rPr>
        <w:t xml:space="preserve"> London: Federal Trust for Education and Research.</w:t>
      </w:r>
      <w:r>
        <w:rPr>
          <w:szCs w:val="24"/>
          <w:lang w:eastAsia="de-DE"/>
        </w:rPr>
        <w:t xml:space="preserve"> </w:t>
      </w:r>
      <w:r>
        <w:rPr>
          <w:szCs w:val="24"/>
          <w:lang w:eastAsia="de-DE"/>
        </w:rPr>
        <w:fldChar w:fldCharType="begin"/>
      </w:r>
      <w:r>
        <w:rPr>
          <w:szCs w:val="24"/>
          <w:lang w:eastAsia="de-DE"/>
        </w:rPr>
        <w:instrText xml:space="preserve"> HYPERLINK "</w:instrText>
      </w:r>
      <w:r w:rsidRPr="00EC28CD">
        <w:rPr>
          <w:szCs w:val="24"/>
          <w:lang w:eastAsia="de-DE"/>
        </w:rPr>
        <w:instrText>https://archive.org/details/euturkeyglitteri00lake</w:instrText>
      </w:r>
      <w:r>
        <w:rPr>
          <w:szCs w:val="24"/>
          <w:lang w:eastAsia="de-DE"/>
        </w:rPr>
        <w:instrText xml:space="preserve">" </w:instrText>
      </w:r>
      <w:r>
        <w:rPr>
          <w:szCs w:val="24"/>
          <w:lang w:eastAsia="de-DE"/>
        </w:rPr>
        <w:fldChar w:fldCharType="separate"/>
      </w:r>
      <w:r w:rsidRPr="003514BE">
        <w:rPr>
          <w:rStyle w:val="Hyperlink"/>
          <w:szCs w:val="24"/>
          <w:lang w:eastAsia="de-DE"/>
        </w:rPr>
        <w:t>https://archive.org/details/euturkeyglitteri00lake</w:t>
      </w:r>
      <w:r>
        <w:rPr>
          <w:szCs w:val="24"/>
          <w:lang w:eastAsia="de-DE"/>
        </w:rPr>
        <w:fldChar w:fldCharType="end"/>
      </w:r>
      <w:r>
        <w:rPr>
          <w:szCs w:val="24"/>
          <w:lang w:eastAsia="de-DE"/>
        </w:rPr>
        <w:t xml:space="preserve"> </w:t>
      </w:r>
    </w:p>
    <w:p w14:paraId="1620AAF4"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Perry, W. J. (1995, April 18). </w:t>
      </w:r>
      <w:r w:rsidRPr="00675069">
        <w:rPr>
          <w:i/>
          <w:iCs/>
          <w:szCs w:val="24"/>
          <w:lang w:val="en-GB" w:eastAsia="de-DE"/>
        </w:rPr>
        <w:t>The ethical use of military force</w:t>
      </w:r>
      <w:r w:rsidRPr="00675069">
        <w:rPr>
          <w:szCs w:val="24"/>
          <w:lang w:val="en-GB" w:eastAsia="de-DE"/>
        </w:rPr>
        <w:t xml:space="preserve">. Foreign Affairs Conference. </w:t>
      </w:r>
      <w:hyperlink r:id="rId13" w:tgtFrame="_new" w:history="1">
        <w:r w:rsidRPr="00675069">
          <w:rPr>
            <w:color w:val="0000FF"/>
            <w:szCs w:val="24"/>
            <w:u w:val="single"/>
            <w:lang w:val="en-GB" w:eastAsia="de-DE"/>
          </w:rPr>
          <w:t>http://www.defenselink.mil/speeches/1995/s19950418-perry.html</w:t>
        </w:r>
      </w:hyperlink>
    </w:p>
    <w:p w14:paraId="7E4B043D"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Rumsfeld, D. H. (2002, September 19). </w:t>
      </w:r>
      <w:r w:rsidRPr="00675069">
        <w:rPr>
          <w:i/>
          <w:iCs/>
          <w:szCs w:val="24"/>
          <w:lang w:val="en-GB" w:eastAsia="de-DE"/>
        </w:rPr>
        <w:t>Statement of Donald H. Rumsfeld, U.S. Secretary of State, Senate Armed Services Committee, Hearings on Iraq</w:t>
      </w:r>
      <w:r w:rsidRPr="00675069">
        <w:rPr>
          <w:szCs w:val="24"/>
          <w:lang w:val="en-GB" w:eastAsia="de-DE"/>
        </w:rPr>
        <w:t xml:space="preserve">. </w:t>
      </w:r>
      <w:hyperlink r:id="rId14" w:tgtFrame="_new" w:history="1">
        <w:r w:rsidRPr="00675069">
          <w:rPr>
            <w:color w:val="0000FF"/>
            <w:szCs w:val="24"/>
            <w:u w:val="single"/>
            <w:lang w:val="en-GB" w:eastAsia="de-DE"/>
          </w:rPr>
          <w:t>http://armedservices.senate.gov/e_witnesslist.cfm?id=442</w:t>
        </w:r>
      </w:hyperlink>
    </w:p>
    <w:p w14:paraId="1EEEA1CE"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Schake, K. W. (2005, April 18). </w:t>
      </w:r>
      <w:r w:rsidRPr="00675069">
        <w:rPr>
          <w:i/>
          <w:iCs/>
          <w:szCs w:val="24"/>
          <w:lang w:val="en-GB" w:eastAsia="de-DE"/>
        </w:rPr>
        <w:t xml:space="preserve">NATO &amp; Iraq: </w:t>
      </w:r>
      <w:proofErr w:type="spellStart"/>
      <w:r w:rsidRPr="00675069">
        <w:rPr>
          <w:i/>
          <w:iCs/>
          <w:szCs w:val="24"/>
          <w:lang w:val="en-GB" w:eastAsia="de-DE"/>
        </w:rPr>
        <w:t>Factis</w:t>
      </w:r>
      <w:proofErr w:type="spellEnd"/>
      <w:r w:rsidRPr="00675069">
        <w:rPr>
          <w:i/>
          <w:iCs/>
          <w:szCs w:val="24"/>
          <w:lang w:val="en-GB" w:eastAsia="de-DE"/>
        </w:rPr>
        <w:t xml:space="preserve"> non </w:t>
      </w:r>
      <w:proofErr w:type="spellStart"/>
      <w:r w:rsidRPr="00675069">
        <w:rPr>
          <w:i/>
          <w:iCs/>
          <w:szCs w:val="24"/>
          <w:lang w:val="en-GB" w:eastAsia="de-DE"/>
        </w:rPr>
        <w:t>verbis</w:t>
      </w:r>
      <w:proofErr w:type="spellEnd"/>
      <w:r w:rsidRPr="00675069">
        <w:rPr>
          <w:szCs w:val="24"/>
          <w:lang w:val="en-GB" w:eastAsia="de-DE"/>
        </w:rPr>
        <w:t>. Air University. Research Report, Program in Arms Control, Disarmament and International Security (ACDIS), University of Illinois at Urbana-Champaign.</w:t>
      </w:r>
      <w:r w:rsidRPr="00961247">
        <w:t xml:space="preserve"> </w:t>
      </w:r>
      <w:hyperlink r:id="rId15" w:history="1">
        <w:r w:rsidRPr="003514BE">
          <w:rPr>
            <w:rStyle w:val="Hyperlink"/>
            <w:szCs w:val="24"/>
            <w:lang w:val="en-GB" w:eastAsia="de-DE"/>
          </w:rPr>
          <w:t>https://doi.org/10.21236/ADA476944</w:t>
        </w:r>
      </w:hyperlink>
      <w:r>
        <w:rPr>
          <w:szCs w:val="24"/>
          <w:lang w:val="en-GB" w:eastAsia="de-DE"/>
        </w:rPr>
        <w:t xml:space="preserve"> </w:t>
      </w:r>
    </w:p>
    <w:p w14:paraId="43C2293D"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T.C. </w:t>
      </w:r>
      <w:proofErr w:type="spellStart"/>
      <w:r w:rsidRPr="00675069">
        <w:rPr>
          <w:szCs w:val="24"/>
          <w:lang w:val="en-GB" w:eastAsia="de-DE"/>
        </w:rPr>
        <w:t>Başbakanlık</w:t>
      </w:r>
      <w:proofErr w:type="spellEnd"/>
      <w:r w:rsidRPr="00675069">
        <w:rPr>
          <w:szCs w:val="24"/>
          <w:lang w:val="en-GB" w:eastAsia="de-DE"/>
        </w:rPr>
        <w:t xml:space="preserve"> </w:t>
      </w:r>
      <w:proofErr w:type="spellStart"/>
      <w:r w:rsidRPr="00675069">
        <w:rPr>
          <w:szCs w:val="24"/>
          <w:lang w:val="en-GB" w:eastAsia="de-DE"/>
        </w:rPr>
        <w:t>Basın</w:t>
      </w:r>
      <w:proofErr w:type="spellEnd"/>
      <w:r w:rsidRPr="00675069">
        <w:rPr>
          <w:szCs w:val="24"/>
          <w:lang w:val="en-GB" w:eastAsia="de-DE"/>
        </w:rPr>
        <w:t xml:space="preserve"> </w:t>
      </w:r>
      <w:proofErr w:type="spellStart"/>
      <w:r w:rsidRPr="00675069">
        <w:rPr>
          <w:szCs w:val="24"/>
          <w:lang w:val="en-GB" w:eastAsia="de-DE"/>
        </w:rPr>
        <w:t>Yayın</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w:t>
      </w:r>
      <w:proofErr w:type="spellStart"/>
      <w:r w:rsidRPr="00675069">
        <w:rPr>
          <w:szCs w:val="24"/>
          <w:lang w:val="en-GB" w:eastAsia="de-DE"/>
        </w:rPr>
        <w:t>Enformasyon</w:t>
      </w:r>
      <w:proofErr w:type="spellEnd"/>
      <w:r w:rsidRPr="00675069">
        <w:rPr>
          <w:szCs w:val="24"/>
          <w:lang w:val="en-GB" w:eastAsia="de-DE"/>
        </w:rPr>
        <w:t xml:space="preserve"> Genel </w:t>
      </w:r>
      <w:proofErr w:type="spellStart"/>
      <w:r w:rsidRPr="00675069">
        <w:rPr>
          <w:szCs w:val="24"/>
          <w:lang w:val="en-GB" w:eastAsia="de-DE"/>
        </w:rPr>
        <w:t>Müdürlüğü</w:t>
      </w:r>
      <w:proofErr w:type="spellEnd"/>
      <w:r w:rsidRPr="00675069">
        <w:rPr>
          <w:szCs w:val="24"/>
          <w:lang w:val="en-GB" w:eastAsia="de-DE"/>
        </w:rPr>
        <w:t xml:space="preserve">. (1990, September 10). </w:t>
      </w:r>
      <w:proofErr w:type="spellStart"/>
      <w:r w:rsidRPr="00675069">
        <w:rPr>
          <w:i/>
          <w:iCs/>
          <w:szCs w:val="24"/>
          <w:lang w:val="en-GB" w:eastAsia="de-DE"/>
        </w:rPr>
        <w:t>Ayın</w:t>
      </w:r>
      <w:proofErr w:type="spellEnd"/>
      <w:r w:rsidRPr="00675069">
        <w:rPr>
          <w:i/>
          <w:iCs/>
          <w:szCs w:val="24"/>
          <w:lang w:val="en-GB" w:eastAsia="de-DE"/>
        </w:rPr>
        <w:t xml:space="preserve"> </w:t>
      </w:r>
      <w:proofErr w:type="spellStart"/>
      <w:r w:rsidRPr="00675069">
        <w:rPr>
          <w:i/>
          <w:iCs/>
          <w:szCs w:val="24"/>
          <w:lang w:val="en-GB" w:eastAsia="de-DE"/>
        </w:rPr>
        <w:t>tarihi</w:t>
      </w:r>
      <w:proofErr w:type="spellEnd"/>
      <w:r w:rsidRPr="00675069">
        <w:rPr>
          <w:szCs w:val="24"/>
          <w:lang w:val="en-GB" w:eastAsia="de-DE"/>
        </w:rPr>
        <w:t>. Ankara.</w:t>
      </w:r>
    </w:p>
    <w:p w14:paraId="0AB4D4FE"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T.C. </w:t>
      </w:r>
      <w:proofErr w:type="spellStart"/>
      <w:r w:rsidRPr="00675069">
        <w:rPr>
          <w:szCs w:val="24"/>
          <w:lang w:val="en-GB" w:eastAsia="de-DE"/>
        </w:rPr>
        <w:t>Başbakanlık</w:t>
      </w:r>
      <w:proofErr w:type="spellEnd"/>
      <w:r w:rsidRPr="00675069">
        <w:rPr>
          <w:szCs w:val="24"/>
          <w:lang w:val="en-GB" w:eastAsia="de-DE"/>
        </w:rPr>
        <w:t xml:space="preserve"> </w:t>
      </w:r>
      <w:proofErr w:type="spellStart"/>
      <w:r w:rsidRPr="00675069">
        <w:rPr>
          <w:szCs w:val="24"/>
          <w:lang w:val="en-GB" w:eastAsia="de-DE"/>
        </w:rPr>
        <w:t>Basın</w:t>
      </w:r>
      <w:proofErr w:type="spellEnd"/>
      <w:r w:rsidRPr="00675069">
        <w:rPr>
          <w:szCs w:val="24"/>
          <w:lang w:val="en-GB" w:eastAsia="de-DE"/>
        </w:rPr>
        <w:t xml:space="preserve"> </w:t>
      </w:r>
      <w:proofErr w:type="spellStart"/>
      <w:r w:rsidRPr="00675069">
        <w:rPr>
          <w:szCs w:val="24"/>
          <w:lang w:val="en-GB" w:eastAsia="de-DE"/>
        </w:rPr>
        <w:t>Yayın</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w:t>
      </w:r>
      <w:proofErr w:type="spellStart"/>
      <w:r w:rsidRPr="00675069">
        <w:rPr>
          <w:szCs w:val="24"/>
          <w:lang w:val="en-GB" w:eastAsia="de-DE"/>
        </w:rPr>
        <w:t>Enformasyon</w:t>
      </w:r>
      <w:proofErr w:type="spellEnd"/>
      <w:r w:rsidRPr="00675069">
        <w:rPr>
          <w:szCs w:val="24"/>
          <w:lang w:val="en-GB" w:eastAsia="de-DE"/>
        </w:rPr>
        <w:t xml:space="preserve"> Genel </w:t>
      </w:r>
      <w:proofErr w:type="spellStart"/>
      <w:r w:rsidRPr="00675069">
        <w:rPr>
          <w:szCs w:val="24"/>
          <w:lang w:val="en-GB" w:eastAsia="de-DE"/>
        </w:rPr>
        <w:t>Müdürlüğü</w:t>
      </w:r>
      <w:proofErr w:type="spellEnd"/>
      <w:r w:rsidRPr="00675069">
        <w:rPr>
          <w:szCs w:val="24"/>
          <w:lang w:val="en-GB" w:eastAsia="de-DE"/>
        </w:rPr>
        <w:t xml:space="preserve">. (1990, December 18). </w:t>
      </w:r>
      <w:proofErr w:type="spellStart"/>
      <w:r w:rsidRPr="00675069">
        <w:rPr>
          <w:i/>
          <w:iCs/>
          <w:szCs w:val="24"/>
          <w:lang w:val="en-GB" w:eastAsia="de-DE"/>
        </w:rPr>
        <w:t>Ayın</w:t>
      </w:r>
      <w:proofErr w:type="spellEnd"/>
      <w:r w:rsidRPr="00675069">
        <w:rPr>
          <w:i/>
          <w:iCs/>
          <w:szCs w:val="24"/>
          <w:lang w:val="en-GB" w:eastAsia="de-DE"/>
        </w:rPr>
        <w:t xml:space="preserve"> </w:t>
      </w:r>
      <w:proofErr w:type="spellStart"/>
      <w:r w:rsidRPr="00675069">
        <w:rPr>
          <w:i/>
          <w:iCs/>
          <w:szCs w:val="24"/>
          <w:lang w:val="en-GB" w:eastAsia="de-DE"/>
        </w:rPr>
        <w:t>tarihi</w:t>
      </w:r>
      <w:proofErr w:type="spellEnd"/>
      <w:r w:rsidRPr="00675069">
        <w:rPr>
          <w:szCs w:val="24"/>
          <w:lang w:val="en-GB" w:eastAsia="de-DE"/>
        </w:rPr>
        <w:t>. Ankara.</w:t>
      </w:r>
    </w:p>
    <w:p w14:paraId="565BC0DB"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T.C. </w:t>
      </w:r>
      <w:proofErr w:type="spellStart"/>
      <w:r w:rsidRPr="00675069">
        <w:rPr>
          <w:szCs w:val="24"/>
          <w:lang w:val="en-GB" w:eastAsia="de-DE"/>
        </w:rPr>
        <w:t>Başbakanlık</w:t>
      </w:r>
      <w:proofErr w:type="spellEnd"/>
      <w:r w:rsidRPr="00675069">
        <w:rPr>
          <w:szCs w:val="24"/>
          <w:lang w:val="en-GB" w:eastAsia="de-DE"/>
        </w:rPr>
        <w:t xml:space="preserve"> </w:t>
      </w:r>
      <w:proofErr w:type="spellStart"/>
      <w:r w:rsidRPr="00675069">
        <w:rPr>
          <w:szCs w:val="24"/>
          <w:lang w:val="en-GB" w:eastAsia="de-DE"/>
        </w:rPr>
        <w:t>Basın</w:t>
      </w:r>
      <w:proofErr w:type="spellEnd"/>
      <w:r w:rsidRPr="00675069">
        <w:rPr>
          <w:szCs w:val="24"/>
          <w:lang w:val="en-GB" w:eastAsia="de-DE"/>
        </w:rPr>
        <w:t xml:space="preserve"> </w:t>
      </w:r>
      <w:proofErr w:type="spellStart"/>
      <w:r w:rsidRPr="00675069">
        <w:rPr>
          <w:szCs w:val="24"/>
          <w:lang w:val="en-GB" w:eastAsia="de-DE"/>
        </w:rPr>
        <w:t>Yayın</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w:t>
      </w:r>
      <w:proofErr w:type="spellStart"/>
      <w:r w:rsidRPr="00675069">
        <w:rPr>
          <w:szCs w:val="24"/>
          <w:lang w:val="en-GB" w:eastAsia="de-DE"/>
        </w:rPr>
        <w:t>Enformasyon</w:t>
      </w:r>
      <w:proofErr w:type="spellEnd"/>
      <w:r w:rsidRPr="00675069">
        <w:rPr>
          <w:szCs w:val="24"/>
          <w:lang w:val="en-GB" w:eastAsia="de-DE"/>
        </w:rPr>
        <w:t xml:space="preserve"> Genel </w:t>
      </w:r>
      <w:proofErr w:type="spellStart"/>
      <w:r w:rsidRPr="00675069">
        <w:rPr>
          <w:szCs w:val="24"/>
          <w:lang w:val="en-GB" w:eastAsia="de-DE"/>
        </w:rPr>
        <w:t>Müdürlüğü</w:t>
      </w:r>
      <w:proofErr w:type="spellEnd"/>
      <w:r w:rsidRPr="00675069">
        <w:rPr>
          <w:szCs w:val="24"/>
          <w:lang w:val="en-GB" w:eastAsia="de-DE"/>
        </w:rPr>
        <w:t xml:space="preserve">. (1990, August 5). </w:t>
      </w:r>
      <w:proofErr w:type="spellStart"/>
      <w:r w:rsidRPr="00675069">
        <w:rPr>
          <w:i/>
          <w:iCs/>
          <w:szCs w:val="24"/>
          <w:lang w:val="en-GB" w:eastAsia="de-DE"/>
        </w:rPr>
        <w:t>Ayın</w:t>
      </w:r>
      <w:proofErr w:type="spellEnd"/>
      <w:r w:rsidRPr="00675069">
        <w:rPr>
          <w:i/>
          <w:iCs/>
          <w:szCs w:val="24"/>
          <w:lang w:val="en-GB" w:eastAsia="de-DE"/>
        </w:rPr>
        <w:t xml:space="preserve"> </w:t>
      </w:r>
      <w:proofErr w:type="spellStart"/>
      <w:r w:rsidRPr="00675069">
        <w:rPr>
          <w:i/>
          <w:iCs/>
          <w:szCs w:val="24"/>
          <w:lang w:val="en-GB" w:eastAsia="de-DE"/>
        </w:rPr>
        <w:t>tarihi</w:t>
      </w:r>
      <w:proofErr w:type="spellEnd"/>
      <w:r w:rsidRPr="00675069">
        <w:rPr>
          <w:szCs w:val="24"/>
          <w:lang w:val="en-GB" w:eastAsia="de-DE"/>
        </w:rPr>
        <w:t>. Ankara.</w:t>
      </w:r>
    </w:p>
    <w:p w14:paraId="19026E53"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T.C. </w:t>
      </w:r>
      <w:proofErr w:type="spellStart"/>
      <w:r w:rsidRPr="00675069">
        <w:rPr>
          <w:szCs w:val="24"/>
          <w:lang w:val="en-GB" w:eastAsia="de-DE"/>
        </w:rPr>
        <w:t>Başbakanlık</w:t>
      </w:r>
      <w:proofErr w:type="spellEnd"/>
      <w:r w:rsidRPr="00675069">
        <w:rPr>
          <w:szCs w:val="24"/>
          <w:lang w:val="en-GB" w:eastAsia="de-DE"/>
        </w:rPr>
        <w:t xml:space="preserve"> </w:t>
      </w:r>
      <w:proofErr w:type="spellStart"/>
      <w:r w:rsidRPr="00675069">
        <w:rPr>
          <w:szCs w:val="24"/>
          <w:lang w:val="en-GB" w:eastAsia="de-DE"/>
        </w:rPr>
        <w:t>Basın</w:t>
      </w:r>
      <w:proofErr w:type="spellEnd"/>
      <w:r w:rsidRPr="00675069">
        <w:rPr>
          <w:szCs w:val="24"/>
          <w:lang w:val="en-GB" w:eastAsia="de-DE"/>
        </w:rPr>
        <w:t xml:space="preserve"> </w:t>
      </w:r>
      <w:proofErr w:type="spellStart"/>
      <w:r w:rsidRPr="00675069">
        <w:rPr>
          <w:szCs w:val="24"/>
          <w:lang w:val="en-GB" w:eastAsia="de-DE"/>
        </w:rPr>
        <w:t>Yayın</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w:t>
      </w:r>
      <w:proofErr w:type="spellStart"/>
      <w:r w:rsidRPr="00675069">
        <w:rPr>
          <w:szCs w:val="24"/>
          <w:lang w:val="en-GB" w:eastAsia="de-DE"/>
        </w:rPr>
        <w:t>Enformasyon</w:t>
      </w:r>
      <w:proofErr w:type="spellEnd"/>
      <w:r w:rsidRPr="00675069">
        <w:rPr>
          <w:szCs w:val="24"/>
          <w:lang w:val="en-GB" w:eastAsia="de-DE"/>
        </w:rPr>
        <w:t xml:space="preserve"> Genel </w:t>
      </w:r>
      <w:proofErr w:type="spellStart"/>
      <w:r w:rsidRPr="00675069">
        <w:rPr>
          <w:szCs w:val="24"/>
          <w:lang w:val="en-GB" w:eastAsia="de-DE"/>
        </w:rPr>
        <w:t>Müdürlüğü</w:t>
      </w:r>
      <w:proofErr w:type="spellEnd"/>
      <w:r w:rsidRPr="00675069">
        <w:rPr>
          <w:szCs w:val="24"/>
          <w:lang w:val="en-GB" w:eastAsia="de-DE"/>
        </w:rPr>
        <w:t xml:space="preserve">. (1990, August 10). </w:t>
      </w:r>
      <w:proofErr w:type="spellStart"/>
      <w:r w:rsidRPr="00675069">
        <w:rPr>
          <w:i/>
          <w:iCs/>
          <w:szCs w:val="24"/>
          <w:lang w:val="en-GB" w:eastAsia="de-DE"/>
        </w:rPr>
        <w:t>Ayın</w:t>
      </w:r>
      <w:proofErr w:type="spellEnd"/>
      <w:r w:rsidRPr="00675069">
        <w:rPr>
          <w:i/>
          <w:iCs/>
          <w:szCs w:val="24"/>
          <w:lang w:val="en-GB" w:eastAsia="de-DE"/>
        </w:rPr>
        <w:t xml:space="preserve"> </w:t>
      </w:r>
      <w:proofErr w:type="spellStart"/>
      <w:r w:rsidRPr="00675069">
        <w:rPr>
          <w:i/>
          <w:iCs/>
          <w:szCs w:val="24"/>
          <w:lang w:val="en-GB" w:eastAsia="de-DE"/>
        </w:rPr>
        <w:t>tarihi</w:t>
      </w:r>
      <w:proofErr w:type="spellEnd"/>
      <w:r w:rsidRPr="00675069">
        <w:rPr>
          <w:szCs w:val="24"/>
          <w:lang w:val="en-GB" w:eastAsia="de-DE"/>
        </w:rPr>
        <w:t>. Ankara.</w:t>
      </w:r>
    </w:p>
    <w:p w14:paraId="0D4F14B0" w14:textId="77777777" w:rsidR="009B1CAE" w:rsidRDefault="009B1CAE" w:rsidP="00C004FE">
      <w:pPr>
        <w:autoSpaceDE/>
        <w:autoSpaceDN/>
        <w:spacing w:before="0" w:after="80"/>
        <w:ind w:left="288" w:hanging="288"/>
        <w:rPr>
          <w:szCs w:val="24"/>
          <w:lang w:val="en-GB" w:eastAsia="de-DE"/>
        </w:rPr>
      </w:pPr>
      <w:r w:rsidRPr="00675069">
        <w:rPr>
          <w:szCs w:val="24"/>
          <w:lang w:val="en-GB" w:eastAsia="de-DE"/>
        </w:rPr>
        <w:t xml:space="preserve">T.C. </w:t>
      </w:r>
      <w:proofErr w:type="spellStart"/>
      <w:r w:rsidRPr="00675069">
        <w:rPr>
          <w:szCs w:val="24"/>
          <w:lang w:val="en-GB" w:eastAsia="de-DE"/>
        </w:rPr>
        <w:t>Başbakanlık</w:t>
      </w:r>
      <w:proofErr w:type="spellEnd"/>
      <w:r w:rsidRPr="00675069">
        <w:rPr>
          <w:szCs w:val="24"/>
          <w:lang w:val="en-GB" w:eastAsia="de-DE"/>
        </w:rPr>
        <w:t xml:space="preserve"> </w:t>
      </w:r>
      <w:proofErr w:type="spellStart"/>
      <w:r w:rsidRPr="00675069">
        <w:rPr>
          <w:szCs w:val="24"/>
          <w:lang w:val="en-GB" w:eastAsia="de-DE"/>
        </w:rPr>
        <w:t>Basın</w:t>
      </w:r>
      <w:proofErr w:type="spellEnd"/>
      <w:r w:rsidRPr="00675069">
        <w:rPr>
          <w:szCs w:val="24"/>
          <w:lang w:val="en-GB" w:eastAsia="de-DE"/>
        </w:rPr>
        <w:t xml:space="preserve"> </w:t>
      </w:r>
      <w:proofErr w:type="spellStart"/>
      <w:r w:rsidRPr="00675069">
        <w:rPr>
          <w:szCs w:val="24"/>
          <w:lang w:val="en-GB" w:eastAsia="de-DE"/>
        </w:rPr>
        <w:t>Yayın</w:t>
      </w:r>
      <w:proofErr w:type="spellEnd"/>
      <w:r w:rsidRPr="00675069">
        <w:rPr>
          <w:szCs w:val="24"/>
          <w:lang w:val="en-GB" w:eastAsia="de-DE"/>
        </w:rPr>
        <w:t xml:space="preserve"> </w:t>
      </w:r>
      <w:proofErr w:type="spellStart"/>
      <w:r w:rsidRPr="00675069">
        <w:rPr>
          <w:szCs w:val="24"/>
          <w:lang w:val="en-GB" w:eastAsia="de-DE"/>
        </w:rPr>
        <w:t>ve</w:t>
      </w:r>
      <w:proofErr w:type="spellEnd"/>
      <w:r w:rsidRPr="00675069">
        <w:rPr>
          <w:szCs w:val="24"/>
          <w:lang w:val="en-GB" w:eastAsia="de-DE"/>
        </w:rPr>
        <w:t xml:space="preserve"> </w:t>
      </w:r>
      <w:proofErr w:type="spellStart"/>
      <w:r w:rsidRPr="00675069">
        <w:rPr>
          <w:szCs w:val="24"/>
          <w:lang w:val="en-GB" w:eastAsia="de-DE"/>
        </w:rPr>
        <w:t>Enformasyon</w:t>
      </w:r>
      <w:proofErr w:type="spellEnd"/>
      <w:r w:rsidRPr="00675069">
        <w:rPr>
          <w:szCs w:val="24"/>
          <w:lang w:val="en-GB" w:eastAsia="de-DE"/>
        </w:rPr>
        <w:t xml:space="preserve"> Genel </w:t>
      </w:r>
      <w:proofErr w:type="spellStart"/>
      <w:r w:rsidRPr="00675069">
        <w:rPr>
          <w:szCs w:val="24"/>
          <w:lang w:val="en-GB" w:eastAsia="de-DE"/>
        </w:rPr>
        <w:t>Müdürlüğü</w:t>
      </w:r>
      <w:proofErr w:type="spellEnd"/>
      <w:r w:rsidRPr="00675069">
        <w:rPr>
          <w:szCs w:val="24"/>
          <w:lang w:val="en-GB" w:eastAsia="de-DE"/>
        </w:rPr>
        <w:t xml:space="preserve">. (1990, August 31). </w:t>
      </w:r>
      <w:proofErr w:type="spellStart"/>
      <w:r w:rsidRPr="00675069">
        <w:rPr>
          <w:i/>
          <w:iCs/>
          <w:szCs w:val="24"/>
          <w:lang w:val="en-GB" w:eastAsia="de-DE"/>
        </w:rPr>
        <w:t>Ayın</w:t>
      </w:r>
      <w:proofErr w:type="spellEnd"/>
      <w:r w:rsidRPr="00675069">
        <w:rPr>
          <w:i/>
          <w:iCs/>
          <w:szCs w:val="24"/>
          <w:lang w:val="en-GB" w:eastAsia="de-DE"/>
        </w:rPr>
        <w:t xml:space="preserve"> </w:t>
      </w:r>
      <w:proofErr w:type="spellStart"/>
      <w:r w:rsidRPr="00675069">
        <w:rPr>
          <w:i/>
          <w:iCs/>
          <w:szCs w:val="24"/>
          <w:lang w:val="en-GB" w:eastAsia="de-DE"/>
        </w:rPr>
        <w:t>tarihi</w:t>
      </w:r>
      <w:proofErr w:type="spellEnd"/>
      <w:r w:rsidRPr="00675069">
        <w:rPr>
          <w:szCs w:val="24"/>
          <w:lang w:val="en-GB" w:eastAsia="de-DE"/>
        </w:rPr>
        <w:t>. Ankara.</w:t>
      </w:r>
    </w:p>
    <w:p w14:paraId="2DD94FB2" w14:textId="77777777" w:rsidR="009B1CAE" w:rsidRPr="00D17FFD" w:rsidRDefault="009B1CAE" w:rsidP="00C004FE">
      <w:pPr>
        <w:autoSpaceDE/>
        <w:autoSpaceDN/>
        <w:spacing w:before="0" w:after="80"/>
        <w:ind w:left="288" w:hanging="288"/>
        <w:rPr>
          <w:szCs w:val="24"/>
          <w:lang w:val="en-GB" w:eastAsia="de-DE"/>
        </w:rPr>
      </w:pPr>
      <w:r w:rsidRPr="00D17FFD">
        <w:rPr>
          <w:szCs w:val="24"/>
          <w:lang w:val="en-GB" w:eastAsia="de-DE"/>
        </w:rPr>
        <w:t xml:space="preserve">T.C. </w:t>
      </w:r>
      <w:proofErr w:type="spellStart"/>
      <w:r w:rsidRPr="00D17FFD">
        <w:rPr>
          <w:szCs w:val="24"/>
          <w:lang w:val="en-GB" w:eastAsia="de-DE"/>
        </w:rPr>
        <w:t>Başbakanlık</w:t>
      </w:r>
      <w:proofErr w:type="spellEnd"/>
      <w:r w:rsidRPr="00D17FFD">
        <w:rPr>
          <w:szCs w:val="24"/>
          <w:lang w:val="en-GB" w:eastAsia="de-DE"/>
        </w:rPr>
        <w:t xml:space="preserve"> </w:t>
      </w:r>
      <w:proofErr w:type="spellStart"/>
      <w:r w:rsidRPr="00D17FFD">
        <w:rPr>
          <w:szCs w:val="24"/>
          <w:lang w:val="en-GB" w:eastAsia="de-DE"/>
        </w:rPr>
        <w:t>Basın</w:t>
      </w:r>
      <w:proofErr w:type="spellEnd"/>
      <w:r w:rsidRPr="00D17FFD">
        <w:rPr>
          <w:szCs w:val="24"/>
          <w:lang w:val="en-GB" w:eastAsia="de-DE"/>
        </w:rPr>
        <w:t xml:space="preserve"> </w:t>
      </w:r>
      <w:proofErr w:type="spellStart"/>
      <w:r w:rsidRPr="00D17FFD">
        <w:rPr>
          <w:szCs w:val="24"/>
          <w:lang w:val="en-GB" w:eastAsia="de-DE"/>
        </w:rPr>
        <w:t>Yayın</w:t>
      </w:r>
      <w:proofErr w:type="spellEnd"/>
      <w:r w:rsidRPr="00D17FFD">
        <w:rPr>
          <w:szCs w:val="24"/>
          <w:lang w:val="en-GB" w:eastAsia="de-DE"/>
        </w:rPr>
        <w:t xml:space="preserve"> </w:t>
      </w:r>
      <w:proofErr w:type="spellStart"/>
      <w:r w:rsidRPr="00D17FFD">
        <w:rPr>
          <w:szCs w:val="24"/>
          <w:lang w:val="en-GB" w:eastAsia="de-DE"/>
        </w:rPr>
        <w:t>ve</w:t>
      </w:r>
      <w:proofErr w:type="spellEnd"/>
      <w:r w:rsidRPr="00D17FFD">
        <w:rPr>
          <w:szCs w:val="24"/>
          <w:lang w:val="en-GB" w:eastAsia="de-DE"/>
        </w:rPr>
        <w:t xml:space="preserve"> </w:t>
      </w:r>
      <w:proofErr w:type="spellStart"/>
      <w:r w:rsidRPr="00D17FFD">
        <w:rPr>
          <w:szCs w:val="24"/>
          <w:lang w:val="en-GB" w:eastAsia="de-DE"/>
        </w:rPr>
        <w:t>Enformasyon</w:t>
      </w:r>
      <w:proofErr w:type="spellEnd"/>
      <w:r w:rsidRPr="00D17FFD">
        <w:rPr>
          <w:szCs w:val="24"/>
          <w:lang w:val="en-GB" w:eastAsia="de-DE"/>
        </w:rPr>
        <w:t xml:space="preserve"> Genel </w:t>
      </w:r>
      <w:proofErr w:type="spellStart"/>
      <w:r w:rsidRPr="00D17FFD">
        <w:rPr>
          <w:szCs w:val="24"/>
          <w:lang w:val="en-GB" w:eastAsia="de-DE"/>
        </w:rPr>
        <w:t>Müdürlüğü</w:t>
      </w:r>
      <w:proofErr w:type="spellEnd"/>
      <w:r w:rsidRPr="00D17FFD">
        <w:rPr>
          <w:szCs w:val="24"/>
          <w:lang w:val="en-GB" w:eastAsia="de-DE"/>
        </w:rPr>
        <w:t xml:space="preserve">. (1990, August </w:t>
      </w:r>
      <w:r>
        <w:rPr>
          <w:szCs w:val="24"/>
          <w:lang w:val="en-GB" w:eastAsia="de-DE"/>
        </w:rPr>
        <w:t>2</w:t>
      </w:r>
      <w:r w:rsidRPr="00D17FFD">
        <w:rPr>
          <w:szCs w:val="24"/>
          <w:lang w:val="en-GB" w:eastAsia="de-DE"/>
        </w:rPr>
        <w:t xml:space="preserve">). </w:t>
      </w:r>
      <w:proofErr w:type="spellStart"/>
      <w:r w:rsidRPr="00D17FFD">
        <w:rPr>
          <w:i/>
          <w:iCs/>
          <w:szCs w:val="24"/>
          <w:lang w:val="en-GB" w:eastAsia="de-DE"/>
        </w:rPr>
        <w:t>Ayın</w:t>
      </w:r>
      <w:proofErr w:type="spellEnd"/>
      <w:r w:rsidRPr="00D17FFD">
        <w:rPr>
          <w:i/>
          <w:iCs/>
          <w:szCs w:val="24"/>
          <w:lang w:val="en-GB" w:eastAsia="de-DE"/>
        </w:rPr>
        <w:t xml:space="preserve"> </w:t>
      </w:r>
      <w:proofErr w:type="spellStart"/>
      <w:r w:rsidRPr="00D17FFD">
        <w:rPr>
          <w:i/>
          <w:iCs/>
          <w:szCs w:val="24"/>
          <w:lang w:val="en-GB" w:eastAsia="de-DE"/>
        </w:rPr>
        <w:t>tarihi</w:t>
      </w:r>
      <w:proofErr w:type="spellEnd"/>
      <w:r w:rsidRPr="00D17FFD">
        <w:rPr>
          <w:szCs w:val="24"/>
          <w:lang w:val="en-GB" w:eastAsia="de-DE"/>
        </w:rPr>
        <w:t>. Ankara.</w:t>
      </w:r>
    </w:p>
    <w:p w14:paraId="04D33C81"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U.S. Government. (2002). </w:t>
      </w:r>
      <w:r w:rsidRPr="00675069">
        <w:rPr>
          <w:i/>
          <w:iCs/>
          <w:szCs w:val="24"/>
          <w:lang w:val="en-GB" w:eastAsia="de-DE"/>
        </w:rPr>
        <w:t>The national security strategy of the United States of America</w:t>
      </w:r>
      <w:r w:rsidRPr="00675069">
        <w:rPr>
          <w:szCs w:val="24"/>
          <w:lang w:val="en-GB" w:eastAsia="de-DE"/>
        </w:rPr>
        <w:t xml:space="preserve">. </w:t>
      </w:r>
      <w:hyperlink r:id="rId16" w:tgtFrame="_new" w:history="1">
        <w:r w:rsidRPr="00675069">
          <w:rPr>
            <w:color w:val="0000FF"/>
            <w:szCs w:val="24"/>
            <w:u w:val="single"/>
            <w:lang w:val="en-GB" w:eastAsia="de-DE"/>
          </w:rPr>
          <w:t>http://www.whitehouse.gov/nsc/nss/2002/index.html</w:t>
        </w:r>
      </w:hyperlink>
    </w:p>
    <w:p w14:paraId="36C4D65D"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Voight, K. (1998, November). </w:t>
      </w:r>
      <w:r w:rsidRPr="00675069">
        <w:rPr>
          <w:i/>
          <w:iCs/>
          <w:szCs w:val="24"/>
          <w:lang w:val="en-GB" w:eastAsia="de-DE"/>
        </w:rPr>
        <w:t>The transatlantic agenda and the new NATO – Section II: The West and Iraq</w:t>
      </w:r>
      <w:r w:rsidRPr="00675069">
        <w:rPr>
          <w:szCs w:val="24"/>
          <w:lang w:val="en-GB" w:eastAsia="de-DE"/>
        </w:rPr>
        <w:t xml:space="preserve"> (General Rapporteur). NATO Parliamentary Assembly. </w:t>
      </w:r>
      <w:hyperlink r:id="rId17" w:tgtFrame="_new" w:history="1">
        <w:r w:rsidRPr="00675069">
          <w:rPr>
            <w:color w:val="0000FF"/>
            <w:szCs w:val="24"/>
            <w:u w:val="single"/>
            <w:lang w:val="en-GB" w:eastAsia="de-DE"/>
          </w:rPr>
          <w:t>https://www.nato-pa.int/archivedpubs/comrep/1998</w:t>
        </w:r>
      </w:hyperlink>
    </w:p>
    <w:p w14:paraId="38607BC9" w14:textId="77777777" w:rsidR="009B1CAE" w:rsidRPr="00675069" w:rsidRDefault="009B1CAE" w:rsidP="00C004FE">
      <w:pPr>
        <w:autoSpaceDE/>
        <w:autoSpaceDN/>
        <w:spacing w:before="0" w:after="80"/>
        <w:ind w:left="288" w:hanging="288"/>
        <w:rPr>
          <w:szCs w:val="24"/>
          <w:lang w:val="en-GB" w:eastAsia="de-DE"/>
        </w:rPr>
      </w:pPr>
      <w:r w:rsidRPr="00675069">
        <w:rPr>
          <w:szCs w:val="24"/>
          <w:lang w:val="en-GB" w:eastAsia="de-DE"/>
        </w:rPr>
        <w:t xml:space="preserve">Yergin, D. (1991). </w:t>
      </w:r>
      <w:r w:rsidRPr="00675069">
        <w:rPr>
          <w:i/>
          <w:iCs/>
          <w:szCs w:val="24"/>
          <w:lang w:val="en-GB" w:eastAsia="de-DE"/>
        </w:rPr>
        <w:t xml:space="preserve">The prize: The </w:t>
      </w:r>
      <w:proofErr w:type="gramStart"/>
      <w:r w:rsidRPr="00675069">
        <w:rPr>
          <w:i/>
          <w:iCs/>
          <w:szCs w:val="24"/>
          <w:lang w:val="en-GB" w:eastAsia="de-DE"/>
        </w:rPr>
        <w:t>epic quest</w:t>
      </w:r>
      <w:proofErr w:type="gramEnd"/>
      <w:r w:rsidRPr="00675069">
        <w:rPr>
          <w:i/>
          <w:iCs/>
          <w:szCs w:val="24"/>
          <w:lang w:val="en-GB" w:eastAsia="de-DE"/>
        </w:rPr>
        <w:t xml:space="preserve"> for oil, money, &amp; power</w:t>
      </w:r>
      <w:r w:rsidRPr="00675069">
        <w:rPr>
          <w:szCs w:val="24"/>
          <w:lang w:val="en-GB" w:eastAsia="de-DE"/>
        </w:rPr>
        <w:t xml:space="preserve"> .</w:t>
      </w:r>
      <w:r>
        <w:rPr>
          <w:szCs w:val="24"/>
          <w:lang w:val="en-GB" w:eastAsia="de-DE"/>
        </w:rPr>
        <w:t xml:space="preserve"> New York:</w:t>
      </w:r>
      <w:r w:rsidRPr="00675069">
        <w:rPr>
          <w:szCs w:val="24"/>
          <w:lang w:val="en-GB" w:eastAsia="de-DE"/>
        </w:rPr>
        <w:t xml:space="preserve"> Free Press.</w:t>
      </w:r>
      <w:r w:rsidRPr="00961247">
        <w:t xml:space="preserve"> </w:t>
      </w:r>
      <w:hyperlink r:id="rId18" w:history="1">
        <w:r w:rsidRPr="003514BE">
          <w:rPr>
            <w:rStyle w:val="Hyperlink"/>
            <w:szCs w:val="24"/>
            <w:lang w:val="en-GB" w:eastAsia="de-DE"/>
          </w:rPr>
          <w:t>https://archive.org/details/prizeepicquestfo0000yerg_g3v1</w:t>
        </w:r>
      </w:hyperlink>
      <w:r>
        <w:rPr>
          <w:szCs w:val="24"/>
          <w:lang w:val="en-GB" w:eastAsia="de-DE"/>
        </w:rPr>
        <w:t xml:space="preserve"> </w:t>
      </w:r>
    </w:p>
    <w:sectPr w:rsidR="009B1CAE" w:rsidRPr="00675069" w:rsidSect="009B1CAE">
      <w:headerReference w:type="default" r:id="rId19"/>
      <w:footerReference w:type="default" r:id="rId20"/>
      <w:headerReference w:type="first" r:id="rId21"/>
      <w:pgSz w:w="11907" w:h="16840" w:code="9"/>
      <w:pgMar w:top="1440" w:right="1440" w:bottom="1440" w:left="1440" w:header="454" w:footer="567" w:gutter="0"/>
      <w:pgNumType w:start="8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BE02" w14:textId="77777777" w:rsidR="00413961" w:rsidRDefault="00413961">
      <w:r>
        <w:separator/>
      </w:r>
    </w:p>
  </w:endnote>
  <w:endnote w:type="continuationSeparator" w:id="0">
    <w:p w14:paraId="7572F612" w14:textId="77777777" w:rsidR="00413961" w:rsidRDefault="0041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57618"/>
      <w:docPartObj>
        <w:docPartGallery w:val="Page Numbers (Bottom of Page)"/>
        <w:docPartUnique/>
      </w:docPartObj>
    </w:sdtPr>
    <w:sdtEndPr>
      <w:rPr>
        <w:noProof/>
      </w:rPr>
    </w:sdtEndPr>
    <w:sdtContent>
      <w:p w14:paraId="487DADA1" w14:textId="582320EC" w:rsidR="006362AF" w:rsidRDefault="00D11BE4" w:rsidP="00D11BE4">
        <w:pPr>
          <w:pStyle w:val="Footer"/>
          <w:ind w:firstLine="0"/>
          <w:jc w:val="center"/>
        </w:pPr>
        <w:r>
          <w:fldChar w:fldCharType="begin"/>
        </w:r>
        <w:r>
          <w:instrText xml:space="preserve"> PAGE   \* MERGEFORMAT </w:instrText>
        </w:r>
        <w:r>
          <w:fldChar w:fldCharType="separate"/>
        </w:r>
        <w:r w:rsidR="00736E86">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AA37" w14:textId="77777777" w:rsidR="00413961" w:rsidRDefault="00413961" w:rsidP="009B1CAE">
      <w:pPr>
        <w:ind w:firstLine="0"/>
      </w:pPr>
      <w:r>
        <w:separator/>
      </w:r>
    </w:p>
  </w:footnote>
  <w:footnote w:type="continuationSeparator" w:id="0">
    <w:p w14:paraId="54DC1D14" w14:textId="77777777" w:rsidR="00413961" w:rsidRDefault="00413961">
      <w:r>
        <w:continuationSeparator/>
      </w:r>
    </w:p>
  </w:footnote>
  <w:footnote w:id="1">
    <w:p w14:paraId="19CB61B1" w14:textId="77777777" w:rsidR="009B1CAE" w:rsidRPr="009B1CAE" w:rsidRDefault="009B1CAE" w:rsidP="009B1CAE">
      <w:pPr>
        <w:pStyle w:val="FootnoteText"/>
        <w:ind w:firstLine="0"/>
        <w:rPr>
          <w:sz w:val="20"/>
          <w:szCs w:val="20"/>
          <w:lang w:val="tr-TR"/>
        </w:rPr>
      </w:pPr>
      <w:r w:rsidRPr="009B1CAE">
        <w:rPr>
          <w:rStyle w:val="FootnoteReference"/>
          <w:sz w:val="20"/>
          <w:szCs w:val="20"/>
        </w:rPr>
        <w:footnoteRef/>
      </w:r>
      <w:r w:rsidRPr="009B1CAE">
        <w:rPr>
          <w:sz w:val="20"/>
          <w:szCs w:val="20"/>
        </w:rPr>
        <w:t xml:space="preserve"> </w:t>
      </w:r>
      <w:r w:rsidRPr="009B1CAE">
        <w:rPr>
          <w:sz w:val="20"/>
          <w:szCs w:val="20"/>
          <w:lang w:val="tr-TR"/>
        </w:rPr>
        <w:t xml:space="preserve">Archival documents about the situation in the Gulf region include: NATO, PO/59/394, 11 March 1959; NATO, PO/80/90, 26 September 1980; NATO, PO (91) 118, 29 November 1991; NATO, AC/119-WP (59) 97/2, 26 September 1959; NATO, PO (90) 83, 20 September 1990; NATO, PO (90) 83, 25 September 1990; NATO, PO (90) 124, 12 December 1990; NATO, Press Release (98)23, 25 February 1998. The situation about Iraq, even before the first Gulf War, can be observed in these and further documents.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7F8" w14:textId="1F7189CA" w:rsidR="000E3AC9" w:rsidRPr="00711391" w:rsidRDefault="009B1CAE" w:rsidP="00D11BE4">
    <w:pPr>
      <w:pStyle w:val="Header"/>
      <w:spacing w:before="160"/>
      <w:ind w:firstLine="0"/>
      <w:jc w:val="center"/>
      <w:rPr>
        <w:i/>
        <w:iCs/>
        <w:sz w:val="20"/>
        <w:szCs w:val="20"/>
      </w:rPr>
    </w:pPr>
    <w:r w:rsidRPr="009B1CAE">
      <w:rPr>
        <w:i/>
        <w:iCs/>
        <w:color w:val="444444"/>
        <w:shd w:val="clear" w:color="auto" w:fill="FFFFFF"/>
        <w:lang w:eastAsia="en-US"/>
      </w:rPr>
      <w:t>Elmas</w:t>
    </w:r>
    <w:r w:rsidR="004360F1" w:rsidRPr="004360F1">
      <w:rPr>
        <w:i/>
        <w:iCs/>
        <w:color w:val="444444"/>
        <w:shd w:val="clear" w:color="auto" w:fill="FFFFFF"/>
        <w:lang w:eastAsia="en-US"/>
      </w:rPr>
      <w:t xml:space="preserve"> </w:t>
    </w:r>
    <w:r w:rsidR="00D11BE4">
      <w:rPr>
        <w:i/>
        <w:iCs/>
        <w:color w:val="444444"/>
        <w:shd w:val="clear" w:color="auto" w:fill="FFFFFF"/>
        <w:lang w:eastAsia="en-US"/>
      </w:rPr>
      <w:t>/</w:t>
    </w:r>
    <w:r w:rsidR="004360F1">
      <w:rPr>
        <w:i/>
        <w:iCs/>
        <w:color w:val="444444"/>
        <w:shd w:val="clear" w:color="auto" w:fill="FFFFFF"/>
        <w:lang w:eastAsia="en-US"/>
      </w:rPr>
      <w:t xml:space="preserve"> </w:t>
    </w:r>
    <w:r w:rsidRPr="009B1CAE">
      <w:rPr>
        <w:i/>
        <w:iCs/>
        <w:color w:val="444444"/>
        <w:shd w:val="clear" w:color="auto" w:fill="FFFFFF"/>
        <w:lang w:eastAsia="en-US"/>
      </w:rPr>
      <w:t xml:space="preserve">Rethinking Influence: </w:t>
    </w:r>
    <w:proofErr w:type="spellStart"/>
    <w:r w:rsidRPr="009B1CAE">
      <w:rPr>
        <w:i/>
        <w:iCs/>
        <w:color w:val="444444"/>
        <w:shd w:val="clear" w:color="auto" w:fill="FFFFFF"/>
        <w:lang w:eastAsia="en-US"/>
      </w:rPr>
      <w:t>Analysing</w:t>
    </w:r>
    <w:proofErr w:type="spellEnd"/>
    <w:r w:rsidRPr="009B1CAE">
      <w:rPr>
        <w:i/>
        <w:iCs/>
        <w:color w:val="444444"/>
        <w:shd w:val="clear" w:color="auto" w:fill="FFFFFF"/>
        <w:lang w:eastAsia="en-US"/>
      </w:rPr>
      <w:t xml:space="preserve"> NATO’s Role in Peace and Security Through an</w:t>
    </w:r>
    <w:r>
      <w:rPr>
        <w:rFonts w:hint="cs"/>
        <w:i/>
        <w:iCs/>
        <w:color w:val="444444"/>
        <w:shd w:val="clear" w:color="auto" w:fill="FFFFFF"/>
        <w:rtl/>
        <w:lang w:eastAsia="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F3DD" w14:textId="77777777" w:rsidR="00D11BE4" w:rsidRPr="00D11BE4" w:rsidRDefault="00D11BE4" w:rsidP="00D11BE4">
    <w:pPr>
      <w:tabs>
        <w:tab w:val="center" w:pos="4536"/>
        <w:tab w:val="right" w:pos="9072"/>
      </w:tabs>
      <w:spacing w:before="0"/>
      <w:rPr>
        <w:sz w:val="22"/>
        <w:szCs w:val="22"/>
        <w:lang w:val="en-US"/>
      </w:rPr>
    </w:pPr>
  </w:p>
  <w:tbl>
    <w:tblPr>
      <w:tblW w:w="10348" w:type="dxa"/>
      <w:jc w:val="center"/>
      <w:tblLook w:val="04A0" w:firstRow="1" w:lastRow="0" w:firstColumn="1" w:lastColumn="0" w:noHBand="0" w:noVBand="1"/>
    </w:tblPr>
    <w:tblGrid>
      <w:gridCol w:w="6663"/>
      <w:gridCol w:w="3685"/>
    </w:tblGrid>
    <w:tr w:rsidR="00D11BE4" w:rsidRPr="00D11BE4" w14:paraId="3157FE2E" w14:textId="77777777" w:rsidTr="0071326A">
      <w:trPr>
        <w:jc w:val="center"/>
      </w:trPr>
      <w:tc>
        <w:tcPr>
          <w:tcW w:w="6663" w:type="dxa"/>
        </w:tcPr>
        <w:p w14:paraId="036939E2" w14:textId="77777777" w:rsidR="00D11BE4" w:rsidRPr="00D11BE4" w:rsidRDefault="00D11BE4" w:rsidP="00D11BE4">
          <w:pPr>
            <w:autoSpaceDE/>
            <w:adjustRightInd w:val="0"/>
            <w:spacing w:before="0"/>
            <w:ind w:firstLine="0"/>
            <w:jc w:val="left"/>
            <w:rPr>
              <w:sz w:val="18"/>
              <w:szCs w:val="18"/>
              <w:lang w:val="en-US"/>
            </w:rPr>
          </w:pPr>
        </w:p>
        <w:p w14:paraId="66100508" w14:textId="7FF9D7A7" w:rsidR="004360F1" w:rsidRDefault="00D11BE4" w:rsidP="00D11BE4">
          <w:pPr>
            <w:autoSpaceDE/>
            <w:adjustRightInd w:val="0"/>
            <w:spacing w:before="0"/>
            <w:ind w:firstLine="0"/>
            <w:jc w:val="left"/>
            <w:rPr>
              <w:rFonts w:eastAsia="Arial"/>
              <w:sz w:val="18"/>
              <w:szCs w:val="18"/>
              <w:lang w:val="en-US"/>
            </w:rPr>
          </w:pPr>
          <w:r w:rsidRPr="00D11BE4">
            <w:rPr>
              <w:rFonts w:eastAsia="Arial"/>
              <w:sz w:val="18"/>
              <w:szCs w:val="18"/>
              <w:lang w:val="en-US"/>
            </w:rPr>
            <w:t xml:space="preserve">*Corresponding Author’s Email: </w:t>
          </w:r>
          <w:r w:rsidR="009B1CAE" w:rsidRPr="009B1CAE">
            <w:rPr>
              <w:rFonts w:eastAsia="Arial"/>
              <w:sz w:val="18"/>
              <w:szCs w:val="18"/>
              <w:lang w:val="en-US"/>
            </w:rPr>
            <w:t>gon.moerv@gmail.com</w:t>
          </w:r>
          <w:r w:rsidR="004360F1">
            <w:rPr>
              <w:rFonts w:eastAsia="Arial"/>
              <w:sz w:val="18"/>
              <w:szCs w:val="18"/>
              <w:lang w:val="en-US"/>
            </w:rPr>
            <w:t xml:space="preserve"> </w:t>
          </w:r>
        </w:p>
        <w:p w14:paraId="48B0C8A7" w14:textId="0DEA9AA5" w:rsidR="00D11BE4" w:rsidRPr="00D11BE4" w:rsidRDefault="00D11BE4" w:rsidP="00D11BE4">
          <w:pPr>
            <w:tabs>
              <w:tab w:val="center" w:pos="4536"/>
              <w:tab w:val="right" w:pos="9072"/>
            </w:tabs>
            <w:autoSpaceDE/>
            <w:spacing w:before="0"/>
            <w:ind w:firstLine="0"/>
            <w:jc w:val="left"/>
            <w:rPr>
              <w:rFonts w:eastAsia="Arial"/>
              <w:sz w:val="18"/>
              <w:szCs w:val="18"/>
              <w:lang w:val="en-US"/>
            </w:rPr>
          </w:pPr>
          <w:r w:rsidRPr="00D11BE4">
            <w:rPr>
              <w:rFonts w:eastAsia="Arial"/>
              <w:sz w:val="18"/>
              <w:szCs w:val="18"/>
              <w:lang w:val="en-US"/>
            </w:rPr>
            <w:t>Proceedings of the World Conference on Social Sciences and Humanities</w:t>
          </w:r>
        </w:p>
        <w:p w14:paraId="410E891B" w14:textId="40D5442A" w:rsidR="00D11BE4" w:rsidRPr="00D11BE4" w:rsidRDefault="00D11BE4" w:rsidP="00736E86">
          <w:pPr>
            <w:tabs>
              <w:tab w:val="center" w:pos="4536"/>
              <w:tab w:val="right" w:pos="9072"/>
            </w:tabs>
            <w:autoSpaceDE/>
            <w:spacing w:before="0"/>
            <w:ind w:firstLine="0"/>
            <w:jc w:val="left"/>
            <w:rPr>
              <w:rFonts w:eastAsia="Arial"/>
              <w:sz w:val="18"/>
              <w:szCs w:val="18"/>
              <w:lang w:val="en-US"/>
            </w:rPr>
          </w:pPr>
          <w:r w:rsidRPr="00D11BE4">
            <w:rPr>
              <w:rFonts w:eastAsia="Arial"/>
              <w:sz w:val="18"/>
              <w:szCs w:val="18"/>
              <w:lang w:val="en-US"/>
            </w:rPr>
            <w:t xml:space="preserve">Vol. </w:t>
          </w:r>
          <w:r w:rsidR="00995952">
            <w:rPr>
              <w:rFonts w:eastAsia="Arial"/>
              <w:sz w:val="18"/>
              <w:szCs w:val="18"/>
              <w:lang w:val="en-US"/>
            </w:rPr>
            <w:t>2</w:t>
          </w:r>
          <w:r w:rsidRPr="00D11BE4">
            <w:rPr>
              <w:rFonts w:eastAsia="Arial"/>
              <w:sz w:val="18"/>
              <w:szCs w:val="18"/>
              <w:lang w:val="en-US"/>
            </w:rPr>
            <w:t>, Issue. 1, 202</w:t>
          </w:r>
          <w:r w:rsidR="00995952">
            <w:rPr>
              <w:rFonts w:eastAsia="Arial"/>
              <w:sz w:val="18"/>
              <w:szCs w:val="18"/>
              <w:lang w:val="en-US"/>
            </w:rPr>
            <w:t>5</w:t>
          </w:r>
          <w:r w:rsidRPr="00D11BE4">
            <w:rPr>
              <w:rFonts w:eastAsia="Arial"/>
              <w:sz w:val="18"/>
              <w:szCs w:val="18"/>
              <w:lang w:val="en-US"/>
            </w:rPr>
            <w:t xml:space="preserve">, pp. </w:t>
          </w:r>
          <w:r w:rsidR="009B1CAE">
            <w:rPr>
              <w:rFonts w:eastAsia="Arial" w:hint="cs"/>
              <w:sz w:val="18"/>
              <w:szCs w:val="18"/>
              <w:rtl/>
              <w:lang w:val="en-US"/>
            </w:rPr>
            <w:t>80</w:t>
          </w:r>
          <w:r w:rsidRPr="00D11BE4">
            <w:rPr>
              <w:rFonts w:eastAsia="Arial"/>
              <w:sz w:val="18"/>
              <w:szCs w:val="18"/>
              <w:lang w:val="en-US"/>
            </w:rPr>
            <w:t>-</w:t>
          </w:r>
          <w:r w:rsidR="009B1CAE">
            <w:rPr>
              <w:rFonts w:eastAsia="Arial" w:hint="cs"/>
              <w:sz w:val="18"/>
              <w:szCs w:val="18"/>
              <w:rtl/>
              <w:lang w:val="en-US"/>
            </w:rPr>
            <w:t>91</w:t>
          </w:r>
        </w:p>
        <w:p w14:paraId="65AEB3DD" w14:textId="44D279FB" w:rsidR="00D11BE4" w:rsidRPr="00D11BE4" w:rsidRDefault="00D11BE4" w:rsidP="00D11BE4">
          <w:pPr>
            <w:tabs>
              <w:tab w:val="center" w:pos="4536"/>
              <w:tab w:val="right" w:pos="9072"/>
            </w:tabs>
            <w:autoSpaceDE/>
            <w:spacing w:before="0"/>
            <w:ind w:firstLine="0"/>
            <w:jc w:val="left"/>
            <w:rPr>
              <w:rFonts w:eastAsia="Arial"/>
              <w:sz w:val="18"/>
              <w:szCs w:val="18"/>
              <w:lang w:val="en-US"/>
            </w:rPr>
          </w:pPr>
          <w:r w:rsidRPr="00D11BE4">
            <w:rPr>
              <w:rFonts w:eastAsia="Arial"/>
              <w:sz w:val="18"/>
              <w:szCs w:val="18"/>
              <w:lang w:val="en-US"/>
            </w:rPr>
            <w:t xml:space="preserve">DOI: </w:t>
          </w:r>
          <w:hyperlink r:id="rId1" w:history="1">
            <w:r w:rsidR="009B1CAE" w:rsidRPr="00CB0175">
              <w:rPr>
                <w:rStyle w:val="Hyperlink"/>
                <w:rFonts w:eastAsia="Arial"/>
                <w:sz w:val="18"/>
                <w:szCs w:val="18"/>
                <w:lang w:val="en-US"/>
              </w:rPr>
              <w:t>https://doi.org/10.33422/shconf.v2i1.1</w:t>
            </w:r>
            <w:r w:rsidR="009B1CAE" w:rsidRPr="00CB0175">
              <w:rPr>
                <w:rStyle w:val="Hyperlink"/>
                <w:rFonts w:eastAsia="Arial"/>
                <w:sz w:val="18"/>
                <w:szCs w:val="18"/>
              </w:rPr>
              <w:t>0</w:t>
            </w:r>
            <w:r w:rsidR="009B1CAE" w:rsidRPr="00CB0175">
              <w:rPr>
                <w:rStyle w:val="Hyperlink"/>
                <w:rFonts w:eastAsia="Arial" w:hint="cs"/>
                <w:sz w:val="18"/>
                <w:szCs w:val="18"/>
                <w:rtl/>
              </w:rPr>
              <w:t>40</w:t>
            </w:r>
          </w:hyperlink>
          <w:r w:rsidRPr="00D11BE4">
            <w:rPr>
              <w:rFonts w:eastAsia="Arial"/>
              <w:sz w:val="18"/>
              <w:szCs w:val="18"/>
              <w:lang w:val="en-US"/>
            </w:rPr>
            <w:t xml:space="preserve"> </w:t>
          </w:r>
        </w:p>
        <w:p w14:paraId="7A370411" w14:textId="3CABCF37" w:rsidR="00D11BE4" w:rsidRPr="00D11BE4" w:rsidRDefault="00D11BE4" w:rsidP="00D11BE4">
          <w:pPr>
            <w:tabs>
              <w:tab w:val="center" w:pos="4536"/>
              <w:tab w:val="right" w:pos="9072"/>
            </w:tabs>
            <w:autoSpaceDE/>
            <w:spacing w:before="0"/>
            <w:ind w:firstLine="0"/>
            <w:jc w:val="left"/>
            <w:rPr>
              <w:rFonts w:eastAsia="Arial"/>
              <w:sz w:val="18"/>
              <w:szCs w:val="18"/>
              <w:lang w:val="en-US"/>
            </w:rPr>
          </w:pPr>
          <w:r w:rsidRPr="00D11BE4">
            <w:rPr>
              <w:rFonts w:eastAsia="Arial"/>
              <w:sz w:val="18"/>
              <w:szCs w:val="18"/>
              <w:lang w:val="en-US"/>
            </w:rPr>
            <w:t>Copyright © 202</w:t>
          </w:r>
          <w:r w:rsidR="00995952">
            <w:rPr>
              <w:rFonts w:eastAsia="Arial"/>
              <w:sz w:val="18"/>
              <w:szCs w:val="18"/>
              <w:lang w:val="en-US"/>
            </w:rPr>
            <w:t>5</w:t>
          </w:r>
          <w:r w:rsidRPr="00D11BE4">
            <w:rPr>
              <w:rFonts w:eastAsia="Arial"/>
              <w:sz w:val="18"/>
              <w:szCs w:val="18"/>
              <w:lang w:val="en-US"/>
            </w:rPr>
            <w:t xml:space="preserve"> Author(s) </w:t>
          </w:r>
        </w:p>
        <w:p w14:paraId="2BA3F7C3" w14:textId="1C3ABF6C" w:rsidR="00D11BE4" w:rsidRPr="00D11BE4" w:rsidRDefault="00D11BE4" w:rsidP="00D11BE4">
          <w:pPr>
            <w:tabs>
              <w:tab w:val="center" w:pos="4536"/>
              <w:tab w:val="right" w:pos="9072"/>
            </w:tabs>
            <w:autoSpaceDE/>
            <w:spacing w:before="0"/>
            <w:ind w:firstLine="0"/>
            <w:jc w:val="left"/>
            <w:rPr>
              <w:rFonts w:eastAsia="Arial"/>
              <w:sz w:val="18"/>
              <w:szCs w:val="18"/>
              <w:lang w:val="en-US"/>
            </w:rPr>
          </w:pPr>
          <w:r w:rsidRPr="00D11BE4">
            <w:rPr>
              <w:rFonts w:eastAsia="Arial"/>
              <w:sz w:val="18"/>
              <w:szCs w:val="18"/>
              <w:lang w:val="en-US"/>
            </w:rPr>
            <w:t>ISSN: 3030-0819 online</w:t>
          </w:r>
        </w:p>
        <w:p w14:paraId="4C64C9C8" w14:textId="090D1F51" w:rsidR="00D11BE4" w:rsidRPr="00D11BE4" w:rsidRDefault="00D11BE4" w:rsidP="00D11BE4">
          <w:pPr>
            <w:tabs>
              <w:tab w:val="center" w:pos="4536"/>
              <w:tab w:val="right" w:pos="9072"/>
            </w:tabs>
            <w:autoSpaceDE/>
            <w:spacing w:before="0"/>
            <w:ind w:firstLine="0"/>
            <w:jc w:val="left"/>
            <w:rPr>
              <w:rFonts w:ascii="Arial" w:eastAsia="Arial" w:hAnsi="Arial" w:cs="Arial"/>
              <w:sz w:val="18"/>
              <w:szCs w:val="18"/>
              <w:lang w:val="en-US"/>
            </w:rPr>
          </w:pPr>
          <w:r w:rsidRPr="00D11BE4">
            <w:rPr>
              <w:rFonts w:ascii="Arial" w:eastAsia="Arial" w:hAnsi="Arial" w:cs="Arial"/>
              <w:b/>
              <w:bCs/>
              <w:noProof/>
              <w:color w:val="0000FF"/>
              <w:sz w:val="20"/>
              <w:lang w:val="en-US" w:eastAsia="en-US"/>
            </w:rPr>
            <w:drawing>
              <wp:inline distT="0" distB="0" distL="0" distR="0" wp14:anchorId="6A0AE1D6" wp14:editId="2246969F">
                <wp:extent cx="556260" cy="198120"/>
                <wp:effectExtent l="0" t="0" r="0" b="0"/>
                <wp:docPr id="2" name="Picture 2"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p>
      </w:tc>
      <w:tc>
        <w:tcPr>
          <w:tcW w:w="3685" w:type="dxa"/>
          <w:hideMark/>
        </w:tcPr>
        <w:p w14:paraId="519DE49B" w14:textId="32701301" w:rsidR="00D11BE4" w:rsidRPr="00D11BE4" w:rsidRDefault="00D11BE4" w:rsidP="00D11BE4">
          <w:pPr>
            <w:tabs>
              <w:tab w:val="center" w:pos="4536"/>
              <w:tab w:val="right" w:pos="9072"/>
            </w:tabs>
            <w:autoSpaceDE/>
            <w:spacing w:before="0"/>
            <w:ind w:firstLine="0"/>
            <w:jc w:val="right"/>
            <w:rPr>
              <w:rFonts w:ascii="Arial" w:eastAsia="Arial" w:hAnsi="Arial" w:cs="Arial"/>
              <w:sz w:val="20"/>
              <w:lang w:val="en-US"/>
            </w:rPr>
          </w:pPr>
          <w:r w:rsidRPr="00D11BE4">
            <w:rPr>
              <w:rFonts w:ascii="Arial" w:eastAsia="Arial" w:hAnsi="Arial" w:cs="Arial"/>
              <w:b/>
              <w:bCs/>
              <w:noProof/>
              <w:sz w:val="20"/>
              <w:lang w:val="en-US" w:eastAsia="en-US"/>
            </w:rPr>
            <w:drawing>
              <wp:inline distT="0" distB="0" distL="0" distR="0" wp14:anchorId="3E86CA26" wp14:editId="6C19BCE2">
                <wp:extent cx="144018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746760"/>
                        </a:xfrm>
                        <a:prstGeom prst="rect">
                          <a:avLst/>
                        </a:prstGeom>
                        <a:noFill/>
                        <a:ln>
                          <a:noFill/>
                        </a:ln>
                      </pic:spPr>
                    </pic:pic>
                  </a:graphicData>
                </a:graphic>
              </wp:inline>
            </w:drawing>
          </w:r>
        </w:p>
      </w:tc>
    </w:tr>
  </w:tbl>
  <w:p w14:paraId="17BEE575" w14:textId="77777777" w:rsidR="00D11BE4" w:rsidRPr="00D11BE4" w:rsidRDefault="00D11BE4" w:rsidP="00D11BE4">
    <w:pPr>
      <w:tabs>
        <w:tab w:val="center" w:pos="4536"/>
        <w:tab w:val="right" w:pos="9072"/>
      </w:tabs>
      <w:spacing w:before="0"/>
      <w:ind w:firstLine="0"/>
      <w:rPr>
        <w:sz w:val="22"/>
        <w:szCs w:val="22"/>
        <w:lang w:val="en-US"/>
      </w:rPr>
    </w:pPr>
  </w:p>
  <w:p w14:paraId="11757C91" w14:textId="77777777" w:rsidR="00D11BE4" w:rsidRPr="00D11BE4" w:rsidRDefault="00D11BE4" w:rsidP="00D11BE4">
    <w:pPr>
      <w:tabs>
        <w:tab w:val="center" w:pos="4536"/>
        <w:tab w:val="right" w:pos="9072"/>
      </w:tabs>
      <w:ind w:firstLine="0"/>
      <w:rPr>
        <w:sz w:val="22"/>
        <w:szCs w:val="22"/>
        <w:lang w:val="en-US"/>
      </w:rPr>
    </w:pPr>
  </w:p>
  <w:p w14:paraId="63388FF4" w14:textId="77777777" w:rsidR="00D11BE4" w:rsidRPr="00D11BE4" w:rsidRDefault="00D11BE4" w:rsidP="00D11BE4">
    <w:pPr>
      <w:tabs>
        <w:tab w:val="center" w:pos="4536"/>
        <w:tab w:val="right" w:pos="9072"/>
      </w:tabs>
      <w:ind w:firstLine="0"/>
      <w:rPr>
        <w:sz w:val="22"/>
        <w:szCs w:val="22"/>
        <w:lang w:val="en-US"/>
      </w:rPr>
    </w:pPr>
  </w:p>
  <w:p w14:paraId="46AF29A9" w14:textId="3866CC44" w:rsidR="00B2423A" w:rsidRPr="00D11BE4" w:rsidRDefault="00B2423A" w:rsidP="00D11BE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78734F"/>
    <w:multiLevelType w:val="singleLevel"/>
    <w:tmpl w:val="EB78734F"/>
    <w:lvl w:ilvl="0">
      <w:start w:val="5"/>
      <w:numFmt w:val="decimal"/>
      <w:suff w:val="space"/>
      <w:lvlText w:val="%1."/>
      <w:lvlJc w:val="left"/>
    </w:lvl>
  </w:abstractNum>
  <w:abstractNum w:abstractNumId="1" w15:restartNumberingAfterBreak="0">
    <w:nsid w:val="FFFFFFFB"/>
    <w:multiLevelType w:val="multilevel"/>
    <w:tmpl w:val="AE74160C"/>
    <w:lvl w:ilvl="0">
      <w:start w:val="1"/>
      <w:numFmt w:val="decimal"/>
      <w:pStyle w:val="Heading1"/>
      <w:lvlText w:val="%1."/>
      <w:lvlJc w:val="left"/>
      <w:pPr>
        <w:tabs>
          <w:tab w:val="num" w:pos="360"/>
        </w:tabs>
      </w:pPr>
      <w:rPr>
        <w:b/>
        <w:bCs w:val="0"/>
        <w:i w:val="0"/>
        <w:iCs/>
        <w:sz w:val="24"/>
        <w:szCs w:val="24"/>
      </w:rPr>
    </w:lvl>
    <w:lvl w:ilvl="1">
      <w:start w:val="1"/>
      <w:numFmt w:val="decimal"/>
      <w:lvlText w:val="%1.%2"/>
      <w:lvlJc w:val="left"/>
      <w:pPr>
        <w:tabs>
          <w:tab w:val="num" w:pos="36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 w15:restartNumberingAfterBreak="0">
    <w:nsid w:val="00E34255"/>
    <w:multiLevelType w:val="hybridMultilevel"/>
    <w:tmpl w:val="A5E0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4" w15:restartNumberingAfterBreak="0">
    <w:nsid w:val="050130D0"/>
    <w:multiLevelType w:val="hybridMultilevel"/>
    <w:tmpl w:val="7F7AEC58"/>
    <w:lvl w:ilvl="0" w:tplc="8926EFF2">
      <w:start w:val="1"/>
      <w:numFmt w:val="bullet"/>
      <w:pStyle w:val="List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C3123"/>
    <w:multiLevelType w:val="hybridMultilevel"/>
    <w:tmpl w:val="402400A6"/>
    <w:lvl w:ilvl="0" w:tplc="434E5BE2">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8B1E34"/>
    <w:multiLevelType w:val="multilevel"/>
    <w:tmpl w:val="C3C636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FC7F3D"/>
    <w:multiLevelType w:val="hybridMultilevel"/>
    <w:tmpl w:val="CE1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9"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F02FEC"/>
    <w:multiLevelType w:val="hybridMultilevel"/>
    <w:tmpl w:val="511C251A"/>
    <w:lvl w:ilvl="0" w:tplc="374AA45E">
      <w:start w:val="1"/>
      <w:numFmt w:val="decimal"/>
      <w:pStyle w:val="ListNumb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91F65DE"/>
    <w:multiLevelType w:val="singleLevel"/>
    <w:tmpl w:val="291F65DE"/>
    <w:lvl w:ilvl="0">
      <w:start w:val="2"/>
      <w:numFmt w:val="decimal"/>
      <w:lvlText w:val="%1."/>
      <w:lvlJc w:val="left"/>
      <w:pPr>
        <w:tabs>
          <w:tab w:val="left" w:pos="312"/>
        </w:tabs>
      </w:pPr>
    </w:lvl>
  </w:abstractNum>
  <w:abstractNum w:abstractNumId="12" w15:restartNumberingAfterBreak="0">
    <w:nsid w:val="38955E27"/>
    <w:multiLevelType w:val="hybridMultilevel"/>
    <w:tmpl w:val="7BAC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14" w15:restartNumberingAfterBreak="0">
    <w:nsid w:val="3BE57C35"/>
    <w:multiLevelType w:val="multilevel"/>
    <w:tmpl w:val="B96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16" w15:restartNumberingAfterBreak="0">
    <w:nsid w:val="44344E1F"/>
    <w:multiLevelType w:val="multilevel"/>
    <w:tmpl w:val="6234F6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F57835"/>
    <w:multiLevelType w:val="multilevel"/>
    <w:tmpl w:val="C8AAD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DA73AF4"/>
    <w:multiLevelType w:val="multilevel"/>
    <w:tmpl w:val="A3BE3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0" w15:restartNumberingAfterBreak="0">
    <w:nsid w:val="5CDE798E"/>
    <w:multiLevelType w:val="hybridMultilevel"/>
    <w:tmpl w:val="9AE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B6694"/>
    <w:multiLevelType w:val="multilevel"/>
    <w:tmpl w:val="E8C2E028"/>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4500"/>
        </w:tabs>
        <w:ind w:left="45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75781EA1"/>
    <w:multiLevelType w:val="singleLevel"/>
    <w:tmpl w:val="75781EA1"/>
    <w:lvl w:ilvl="0">
      <w:start w:val="1"/>
      <w:numFmt w:val="decimal"/>
      <w:suff w:val="space"/>
      <w:lvlText w:val="%1."/>
      <w:lvlJc w:val="left"/>
    </w:lvl>
  </w:abstractNum>
  <w:abstractNum w:abstractNumId="23" w15:restartNumberingAfterBreak="0">
    <w:nsid w:val="76F3105E"/>
    <w:multiLevelType w:val="multilevel"/>
    <w:tmpl w:val="405EB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DB36CC"/>
    <w:multiLevelType w:val="hybridMultilevel"/>
    <w:tmpl w:val="008C58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94455544">
    <w:abstractNumId w:val="21"/>
  </w:num>
  <w:num w:numId="2" w16cid:durableId="586109905">
    <w:abstractNumId w:val="1"/>
  </w:num>
  <w:num w:numId="3" w16cid:durableId="1937404445">
    <w:abstractNumId w:val="8"/>
  </w:num>
  <w:num w:numId="4" w16cid:durableId="1682273892">
    <w:abstractNumId w:val="4"/>
  </w:num>
  <w:num w:numId="5" w16cid:durableId="1124689148">
    <w:abstractNumId w:val="10"/>
  </w:num>
  <w:num w:numId="6" w16cid:durableId="1034767276">
    <w:abstractNumId w:val="9"/>
  </w:num>
  <w:num w:numId="7" w16cid:durableId="1971591212">
    <w:abstractNumId w:val="21"/>
  </w:num>
  <w:num w:numId="8" w16cid:durableId="2103406142">
    <w:abstractNumId w:val="19"/>
  </w:num>
  <w:num w:numId="9" w16cid:durableId="786579594">
    <w:abstractNumId w:val="21"/>
  </w:num>
  <w:num w:numId="10" w16cid:durableId="662584709">
    <w:abstractNumId w:val="21"/>
  </w:num>
  <w:num w:numId="11" w16cid:durableId="284042096">
    <w:abstractNumId w:val="21"/>
  </w:num>
  <w:num w:numId="12" w16cid:durableId="1621447974">
    <w:abstractNumId w:val="13"/>
  </w:num>
  <w:num w:numId="13" w16cid:durableId="829368330">
    <w:abstractNumId w:val="21"/>
  </w:num>
  <w:num w:numId="14" w16cid:durableId="970093708">
    <w:abstractNumId w:val="21"/>
  </w:num>
  <w:num w:numId="15" w16cid:durableId="1518619107">
    <w:abstractNumId w:val="15"/>
  </w:num>
  <w:num w:numId="16" w16cid:durableId="165436970">
    <w:abstractNumId w:val="3"/>
  </w:num>
  <w:num w:numId="17" w16cid:durableId="2128309957">
    <w:abstractNumId w:val="5"/>
  </w:num>
  <w:num w:numId="18" w16cid:durableId="1348483908">
    <w:abstractNumId w:val="21"/>
  </w:num>
  <w:num w:numId="19" w16cid:durableId="1164591356">
    <w:abstractNumId w:val="21"/>
  </w:num>
  <w:num w:numId="20" w16cid:durableId="145752929">
    <w:abstractNumId w:val="21"/>
  </w:num>
  <w:num w:numId="21" w16cid:durableId="723799107">
    <w:abstractNumId w:val="12"/>
  </w:num>
  <w:num w:numId="22" w16cid:durableId="823085023">
    <w:abstractNumId w:val="2"/>
  </w:num>
  <w:num w:numId="23" w16cid:durableId="512572287">
    <w:abstractNumId w:val="20"/>
  </w:num>
  <w:num w:numId="24" w16cid:durableId="552693210">
    <w:abstractNumId w:val="7"/>
  </w:num>
  <w:num w:numId="25" w16cid:durableId="1705865317">
    <w:abstractNumId w:val="14"/>
  </w:num>
  <w:num w:numId="26" w16cid:durableId="1810782544">
    <w:abstractNumId w:val="1"/>
  </w:num>
  <w:num w:numId="27" w16cid:durableId="1885174689">
    <w:abstractNumId w:val="1"/>
  </w:num>
  <w:num w:numId="28" w16cid:durableId="2023625722">
    <w:abstractNumId w:val="1"/>
  </w:num>
  <w:num w:numId="29" w16cid:durableId="551813458">
    <w:abstractNumId w:val="1"/>
  </w:num>
  <w:num w:numId="30" w16cid:durableId="1768887889">
    <w:abstractNumId w:val="1"/>
  </w:num>
  <w:num w:numId="31" w16cid:durableId="1030103006">
    <w:abstractNumId w:val="1"/>
  </w:num>
  <w:num w:numId="32" w16cid:durableId="917523096">
    <w:abstractNumId w:val="1"/>
  </w:num>
  <w:num w:numId="33" w16cid:durableId="411393020">
    <w:abstractNumId w:val="1"/>
  </w:num>
  <w:num w:numId="34" w16cid:durableId="713164867">
    <w:abstractNumId w:val="1"/>
  </w:num>
  <w:num w:numId="35" w16cid:durableId="946275160">
    <w:abstractNumId w:val="1"/>
  </w:num>
  <w:num w:numId="36" w16cid:durableId="673067867">
    <w:abstractNumId w:val="1"/>
  </w:num>
  <w:num w:numId="37" w16cid:durableId="266543925">
    <w:abstractNumId w:val="1"/>
  </w:num>
  <w:num w:numId="38" w16cid:durableId="819004295">
    <w:abstractNumId w:val="1"/>
  </w:num>
  <w:num w:numId="39" w16cid:durableId="513151922">
    <w:abstractNumId w:val="22"/>
  </w:num>
  <w:num w:numId="40" w16cid:durableId="8066856">
    <w:abstractNumId w:val="0"/>
  </w:num>
  <w:num w:numId="41" w16cid:durableId="1505516237">
    <w:abstractNumId w:val="1"/>
  </w:num>
  <w:num w:numId="42" w16cid:durableId="1936161219">
    <w:abstractNumId w:val="1"/>
  </w:num>
  <w:num w:numId="43" w16cid:durableId="848329662">
    <w:abstractNumId w:val="1"/>
  </w:num>
  <w:num w:numId="44" w16cid:durableId="1255821635">
    <w:abstractNumId w:val="1"/>
  </w:num>
  <w:num w:numId="45" w16cid:durableId="1697537202">
    <w:abstractNumId w:val="1"/>
  </w:num>
  <w:num w:numId="46" w16cid:durableId="1185509821">
    <w:abstractNumId w:val="1"/>
  </w:num>
  <w:num w:numId="47" w16cid:durableId="953487119">
    <w:abstractNumId w:val="1"/>
  </w:num>
  <w:num w:numId="48" w16cid:durableId="978459250">
    <w:abstractNumId w:val="23"/>
  </w:num>
  <w:num w:numId="49" w16cid:durableId="1365595926">
    <w:abstractNumId w:val="17"/>
  </w:num>
  <w:num w:numId="50" w16cid:durableId="617686820">
    <w:abstractNumId w:val="16"/>
  </w:num>
  <w:num w:numId="51" w16cid:durableId="1349720584">
    <w:abstractNumId w:val="6"/>
  </w:num>
  <w:num w:numId="52" w16cid:durableId="1874688460">
    <w:abstractNumId w:val="1"/>
  </w:num>
  <w:num w:numId="53" w16cid:durableId="287860611">
    <w:abstractNumId w:val="1"/>
  </w:num>
  <w:num w:numId="54" w16cid:durableId="1975326612">
    <w:abstractNumId w:val="1"/>
  </w:num>
  <w:num w:numId="55" w16cid:durableId="986477461">
    <w:abstractNumId w:val="1"/>
  </w:num>
  <w:num w:numId="56" w16cid:durableId="166218949">
    <w:abstractNumId w:val="1"/>
  </w:num>
  <w:num w:numId="57" w16cid:durableId="1768378873">
    <w:abstractNumId w:val="1"/>
  </w:num>
  <w:num w:numId="58" w16cid:durableId="1416199175">
    <w:abstractNumId w:val="1"/>
  </w:num>
  <w:num w:numId="59" w16cid:durableId="1312128710">
    <w:abstractNumId w:val="1"/>
  </w:num>
  <w:num w:numId="60" w16cid:durableId="1437213437">
    <w:abstractNumId w:val="11"/>
  </w:num>
  <w:num w:numId="61" w16cid:durableId="144125421">
    <w:abstractNumId w:val="1"/>
  </w:num>
  <w:num w:numId="62" w16cid:durableId="1427726971">
    <w:abstractNumId w:val="1"/>
  </w:num>
  <w:num w:numId="63" w16cid:durableId="1388258214">
    <w:abstractNumId w:val="1"/>
  </w:num>
  <w:num w:numId="64" w16cid:durableId="1023047907">
    <w:abstractNumId w:val="1"/>
  </w:num>
  <w:num w:numId="65" w16cid:durableId="1230843373">
    <w:abstractNumId w:val="1"/>
  </w:num>
  <w:num w:numId="66" w16cid:durableId="735595360">
    <w:abstractNumId w:val="24"/>
  </w:num>
  <w:num w:numId="67" w16cid:durableId="1404793394">
    <w:abstractNumId w:val="1"/>
  </w:num>
  <w:num w:numId="68" w16cid:durableId="910575978">
    <w:abstractNumId w:val="1"/>
  </w:num>
  <w:num w:numId="69" w16cid:durableId="426074168">
    <w:abstractNumId w:val="1"/>
  </w:num>
  <w:num w:numId="70" w16cid:durableId="1650741393">
    <w:abstractNumId w:val="1"/>
  </w:num>
  <w:num w:numId="71" w16cid:durableId="1982687326">
    <w:abstractNumId w:val="1"/>
  </w:num>
  <w:num w:numId="72" w16cid:durableId="1521432902">
    <w:abstractNumId w:val="1"/>
  </w:num>
  <w:num w:numId="73" w16cid:durableId="396131811">
    <w:abstractNumId w:val="1"/>
  </w:num>
  <w:num w:numId="74" w16cid:durableId="22495051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zMjY3MjSytDAyMzRW0lEKTi0uzszPAykwqwUACyY6YywAAAA="/>
  </w:docVars>
  <w:rsids>
    <w:rsidRoot w:val="00660FEC"/>
    <w:rsid w:val="000079DC"/>
    <w:rsid w:val="00022935"/>
    <w:rsid w:val="00023EB9"/>
    <w:rsid w:val="00024615"/>
    <w:rsid w:val="0003454B"/>
    <w:rsid w:val="0005391C"/>
    <w:rsid w:val="00064850"/>
    <w:rsid w:val="00065D79"/>
    <w:rsid w:val="00084A28"/>
    <w:rsid w:val="00091D52"/>
    <w:rsid w:val="000A3E1C"/>
    <w:rsid w:val="000A4806"/>
    <w:rsid w:val="000B015E"/>
    <w:rsid w:val="000B69AE"/>
    <w:rsid w:val="000C2EC8"/>
    <w:rsid w:val="000C4C4E"/>
    <w:rsid w:val="000C664A"/>
    <w:rsid w:val="000D6318"/>
    <w:rsid w:val="000E3AC9"/>
    <w:rsid w:val="000E69EA"/>
    <w:rsid w:val="000F70A2"/>
    <w:rsid w:val="00104022"/>
    <w:rsid w:val="0011644E"/>
    <w:rsid w:val="00116F84"/>
    <w:rsid w:val="001357B1"/>
    <w:rsid w:val="00144DBD"/>
    <w:rsid w:val="001524F1"/>
    <w:rsid w:val="00154684"/>
    <w:rsid w:val="001553BE"/>
    <w:rsid w:val="00167103"/>
    <w:rsid w:val="00173F9F"/>
    <w:rsid w:val="00182B43"/>
    <w:rsid w:val="00183509"/>
    <w:rsid w:val="00187458"/>
    <w:rsid w:val="00190C57"/>
    <w:rsid w:val="00194CC9"/>
    <w:rsid w:val="001C549F"/>
    <w:rsid w:val="001E25D2"/>
    <w:rsid w:val="001E41FC"/>
    <w:rsid w:val="00213C4E"/>
    <w:rsid w:val="00215B9A"/>
    <w:rsid w:val="002309A4"/>
    <w:rsid w:val="00231D24"/>
    <w:rsid w:val="0024024E"/>
    <w:rsid w:val="00245576"/>
    <w:rsid w:val="002467DF"/>
    <w:rsid w:val="00276AC4"/>
    <w:rsid w:val="00280535"/>
    <w:rsid w:val="00286D85"/>
    <w:rsid w:val="00294AF9"/>
    <w:rsid w:val="002973EC"/>
    <w:rsid w:val="002A7497"/>
    <w:rsid w:val="002B2D02"/>
    <w:rsid w:val="002D2435"/>
    <w:rsid w:val="002D397F"/>
    <w:rsid w:val="002E0D37"/>
    <w:rsid w:val="002E500F"/>
    <w:rsid w:val="003105A8"/>
    <w:rsid w:val="0031744F"/>
    <w:rsid w:val="003218A5"/>
    <w:rsid w:val="00323C6D"/>
    <w:rsid w:val="00324027"/>
    <w:rsid w:val="00336666"/>
    <w:rsid w:val="00341238"/>
    <w:rsid w:val="00345659"/>
    <w:rsid w:val="00351B3F"/>
    <w:rsid w:val="00355D34"/>
    <w:rsid w:val="003722BE"/>
    <w:rsid w:val="00373778"/>
    <w:rsid w:val="003746CF"/>
    <w:rsid w:val="003A3679"/>
    <w:rsid w:val="003B5232"/>
    <w:rsid w:val="003C3F57"/>
    <w:rsid w:val="003D1E1E"/>
    <w:rsid w:val="003E1EF9"/>
    <w:rsid w:val="003F0014"/>
    <w:rsid w:val="003F1C5D"/>
    <w:rsid w:val="00401B62"/>
    <w:rsid w:val="004035DC"/>
    <w:rsid w:val="0041189E"/>
    <w:rsid w:val="00413961"/>
    <w:rsid w:val="004150E1"/>
    <w:rsid w:val="004207F0"/>
    <w:rsid w:val="004360F1"/>
    <w:rsid w:val="00441E73"/>
    <w:rsid w:val="0044492A"/>
    <w:rsid w:val="0044658D"/>
    <w:rsid w:val="004465F9"/>
    <w:rsid w:val="004522C0"/>
    <w:rsid w:val="004630A7"/>
    <w:rsid w:val="00465B04"/>
    <w:rsid w:val="00474440"/>
    <w:rsid w:val="00481A0F"/>
    <w:rsid w:val="00482525"/>
    <w:rsid w:val="004913A3"/>
    <w:rsid w:val="004938BF"/>
    <w:rsid w:val="004C1F61"/>
    <w:rsid w:val="004E12E5"/>
    <w:rsid w:val="004E1534"/>
    <w:rsid w:val="004F130D"/>
    <w:rsid w:val="004F1640"/>
    <w:rsid w:val="004F5CF0"/>
    <w:rsid w:val="004F6032"/>
    <w:rsid w:val="005023C2"/>
    <w:rsid w:val="0050390E"/>
    <w:rsid w:val="005078E3"/>
    <w:rsid w:val="00514A92"/>
    <w:rsid w:val="0052540E"/>
    <w:rsid w:val="00526C38"/>
    <w:rsid w:val="00540AF0"/>
    <w:rsid w:val="00542256"/>
    <w:rsid w:val="0054325A"/>
    <w:rsid w:val="0054427C"/>
    <w:rsid w:val="0054660D"/>
    <w:rsid w:val="0054721C"/>
    <w:rsid w:val="005508C7"/>
    <w:rsid w:val="00551625"/>
    <w:rsid w:val="00561563"/>
    <w:rsid w:val="005717DF"/>
    <w:rsid w:val="00576B9F"/>
    <w:rsid w:val="00592560"/>
    <w:rsid w:val="005A182B"/>
    <w:rsid w:val="005B594E"/>
    <w:rsid w:val="005C268D"/>
    <w:rsid w:val="005D030D"/>
    <w:rsid w:val="005D089B"/>
    <w:rsid w:val="005E4035"/>
    <w:rsid w:val="005E6A7D"/>
    <w:rsid w:val="005F42E8"/>
    <w:rsid w:val="006020B5"/>
    <w:rsid w:val="006100BA"/>
    <w:rsid w:val="00614CB3"/>
    <w:rsid w:val="006239EF"/>
    <w:rsid w:val="00624A54"/>
    <w:rsid w:val="00627608"/>
    <w:rsid w:val="00630C63"/>
    <w:rsid w:val="006317B9"/>
    <w:rsid w:val="00634128"/>
    <w:rsid w:val="006362AF"/>
    <w:rsid w:val="00645755"/>
    <w:rsid w:val="00660FEC"/>
    <w:rsid w:val="0066365A"/>
    <w:rsid w:val="006724D3"/>
    <w:rsid w:val="0067452C"/>
    <w:rsid w:val="00680B33"/>
    <w:rsid w:val="006879F3"/>
    <w:rsid w:val="00691691"/>
    <w:rsid w:val="006B12E7"/>
    <w:rsid w:val="006B3E7C"/>
    <w:rsid w:val="006C5AA4"/>
    <w:rsid w:val="006E13C7"/>
    <w:rsid w:val="006E317C"/>
    <w:rsid w:val="006E47D7"/>
    <w:rsid w:val="006F2427"/>
    <w:rsid w:val="006F6C99"/>
    <w:rsid w:val="006F6FC3"/>
    <w:rsid w:val="0070096A"/>
    <w:rsid w:val="00707A32"/>
    <w:rsid w:val="00707B02"/>
    <w:rsid w:val="00711391"/>
    <w:rsid w:val="0071150E"/>
    <w:rsid w:val="007126F7"/>
    <w:rsid w:val="00713880"/>
    <w:rsid w:val="00713E0D"/>
    <w:rsid w:val="0071555E"/>
    <w:rsid w:val="00717760"/>
    <w:rsid w:val="00720462"/>
    <w:rsid w:val="0073033D"/>
    <w:rsid w:val="007317AE"/>
    <w:rsid w:val="007342D7"/>
    <w:rsid w:val="00736E86"/>
    <w:rsid w:val="00770A3C"/>
    <w:rsid w:val="007772D3"/>
    <w:rsid w:val="007863B5"/>
    <w:rsid w:val="007910EA"/>
    <w:rsid w:val="007928A3"/>
    <w:rsid w:val="007A3E1B"/>
    <w:rsid w:val="007A4E5B"/>
    <w:rsid w:val="007A52AE"/>
    <w:rsid w:val="007B138C"/>
    <w:rsid w:val="007B1498"/>
    <w:rsid w:val="007B698A"/>
    <w:rsid w:val="007B7CB8"/>
    <w:rsid w:val="007C1177"/>
    <w:rsid w:val="007C168F"/>
    <w:rsid w:val="007D0829"/>
    <w:rsid w:val="007D3107"/>
    <w:rsid w:val="007D396F"/>
    <w:rsid w:val="007E164C"/>
    <w:rsid w:val="007E26A9"/>
    <w:rsid w:val="007E662B"/>
    <w:rsid w:val="007F65DE"/>
    <w:rsid w:val="007F7CC5"/>
    <w:rsid w:val="00804EFA"/>
    <w:rsid w:val="00810D52"/>
    <w:rsid w:val="0082098F"/>
    <w:rsid w:val="008348F4"/>
    <w:rsid w:val="00836C65"/>
    <w:rsid w:val="008419DA"/>
    <w:rsid w:val="00852476"/>
    <w:rsid w:val="0085722C"/>
    <w:rsid w:val="0086002B"/>
    <w:rsid w:val="00874F72"/>
    <w:rsid w:val="00881773"/>
    <w:rsid w:val="0088692D"/>
    <w:rsid w:val="00897F52"/>
    <w:rsid w:val="008A7D16"/>
    <w:rsid w:val="008B39FB"/>
    <w:rsid w:val="008B7ED5"/>
    <w:rsid w:val="008C29E2"/>
    <w:rsid w:val="008C4BAD"/>
    <w:rsid w:val="008D170C"/>
    <w:rsid w:val="008D2A21"/>
    <w:rsid w:val="008D3F19"/>
    <w:rsid w:val="008D6C8A"/>
    <w:rsid w:val="008E04D6"/>
    <w:rsid w:val="008E0D19"/>
    <w:rsid w:val="008E2383"/>
    <w:rsid w:val="008E541E"/>
    <w:rsid w:val="00901510"/>
    <w:rsid w:val="00902165"/>
    <w:rsid w:val="00904136"/>
    <w:rsid w:val="0090428A"/>
    <w:rsid w:val="00906E66"/>
    <w:rsid w:val="00912D7A"/>
    <w:rsid w:val="0092085F"/>
    <w:rsid w:val="00922F68"/>
    <w:rsid w:val="00925F67"/>
    <w:rsid w:val="00943302"/>
    <w:rsid w:val="00950987"/>
    <w:rsid w:val="00952E5A"/>
    <w:rsid w:val="009541E8"/>
    <w:rsid w:val="00961EAE"/>
    <w:rsid w:val="0096493B"/>
    <w:rsid w:val="009741BA"/>
    <w:rsid w:val="00975FB8"/>
    <w:rsid w:val="00983159"/>
    <w:rsid w:val="00987B4C"/>
    <w:rsid w:val="00995952"/>
    <w:rsid w:val="00997F44"/>
    <w:rsid w:val="009A3A11"/>
    <w:rsid w:val="009B01EF"/>
    <w:rsid w:val="009B1CAE"/>
    <w:rsid w:val="009B696B"/>
    <w:rsid w:val="009D01B9"/>
    <w:rsid w:val="009D01BF"/>
    <w:rsid w:val="009D0F93"/>
    <w:rsid w:val="009D4A1E"/>
    <w:rsid w:val="009D73CE"/>
    <w:rsid w:val="009E5E46"/>
    <w:rsid w:val="009F5854"/>
    <w:rsid w:val="00A03CFE"/>
    <w:rsid w:val="00A05D17"/>
    <w:rsid w:val="00A10BAC"/>
    <w:rsid w:val="00A135C4"/>
    <w:rsid w:val="00A15A12"/>
    <w:rsid w:val="00A3724F"/>
    <w:rsid w:val="00A4132F"/>
    <w:rsid w:val="00A414C6"/>
    <w:rsid w:val="00A43817"/>
    <w:rsid w:val="00A5671F"/>
    <w:rsid w:val="00A65740"/>
    <w:rsid w:val="00A666F2"/>
    <w:rsid w:val="00A731EF"/>
    <w:rsid w:val="00A760F2"/>
    <w:rsid w:val="00A83512"/>
    <w:rsid w:val="00AA437F"/>
    <w:rsid w:val="00AC7AED"/>
    <w:rsid w:val="00AD0D46"/>
    <w:rsid w:val="00AD12EF"/>
    <w:rsid w:val="00AE3B5D"/>
    <w:rsid w:val="00B02B0F"/>
    <w:rsid w:val="00B03C9A"/>
    <w:rsid w:val="00B03F2F"/>
    <w:rsid w:val="00B100A5"/>
    <w:rsid w:val="00B12EC4"/>
    <w:rsid w:val="00B1721B"/>
    <w:rsid w:val="00B2423A"/>
    <w:rsid w:val="00B31E9B"/>
    <w:rsid w:val="00B4175E"/>
    <w:rsid w:val="00B50B78"/>
    <w:rsid w:val="00B5164D"/>
    <w:rsid w:val="00B72882"/>
    <w:rsid w:val="00B81B62"/>
    <w:rsid w:val="00B84422"/>
    <w:rsid w:val="00B96B80"/>
    <w:rsid w:val="00BA4052"/>
    <w:rsid w:val="00BB30FE"/>
    <w:rsid w:val="00BB4F4F"/>
    <w:rsid w:val="00BC48A7"/>
    <w:rsid w:val="00BC4CF7"/>
    <w:rsid w:val="00BD019B"/>
    <w:rsid w:val="00BD6B71"/>
    <w:rsid w:val="00BE0C28"/>
    <w:rsid w:val="00BE3874"/>
    <w:rsid w:val="00BE6319"/>
    <w:rsid w:val="00C004FE"/>
    <w:rsid w:val="00C22F24"/>
    <w:rsid w:val="00C26AF4"/>
    <w:rsid w:val="00C2784F"/>
    <w:rsid w:val="00C354D1"/>
    <w:rsid w:val="00C36E8D"/>
    <w:rsid w:val="00C40F7C"/>
    <w:rsid w:val="00C51D9C"/>
    <w:rsid w:val="00C64782"/>
    <w:rsid w:val="00C666FD"/>
    <w:rsid w:val="00CA0458"/>
    <w:rsid w:val="00CB7582"/>
    <w:rsid w:val="00CC6C92"/>
    <w:rsid w:val="00CC7400"/>
    <w:rsid w:val="00CC7F0F"/>
    <w:rsid w:val="00CD5559"/>
    <w:rsid w:val="00CF7461"/>
    <w:rsid w:val="00D0513D"/>
    <w:rsid w:val="00D11BE4"/>
    <w:rsid w:val="00D15AAF"/>
    <w:rsid w:val="00D170DB"/>
    <w:rsid w:val="00D2080D"/>
    <w:rsid w:val="00D21065"/>
    <w:rsid w:val="00D345D2"/>
    <w:rsid w:val="00D43284"/>
    <w:rsid w:val="00D54D41"/>
    <w:rsid w:val="00D55EE0"/>
    <w:rsid w:val="00D655E9"/>
    <w:rsid w:val="00D90DB9"/>
    <w:rsid w:val="00DA777F"/>
    <w:rsid w:val="00DA78E4"/>
    <w:rsid w:val="00DB1A15"/>
    <w:rsid w:val="00DD54C2"/>
    <w:rsid w:val="00DF0A39"/>
    <w:rsid w:val="00E01651"/>
    <w:rsid w:val="00E02CD2"/>
    <w:rsid w:val="00E1671E"/>
    <w:rsid w:val="00E2267A"/>
    <w:rsid w:val="00E2427E"/>
    <w:rsid w:val="00E251FA"/>
    <w:rsid w:val="00E33F9D"/>
    <w:rsid w:val="00E37BB3"/>
    <w:rsid w:val="00E42C0E"/>
    <w:rsid w:val="00E47317"/>
    <w:rsid w:val="00E565F1"/>
    <w:rsid w:val="00E67AD3"/>
    <w:rsid w:val="00E74F90"/>
    <w:rsid w:val="00E84A4D"/>
    <w:rsid w:val="00E937A9"/>
    <w:rsid w:val="00EA08F2"/>
    <w:rsid w:val="00EB1A0B"/>
    <w:rsid w:val="00EB395E"/>
    <w:rsid w:val="00EB72DB"/>
    <w:rsid w:val="00EB760A"/>
    <w:rsid w:val="00EC5563"/>
    <w:rsid w:val="00EC5942"/>
    <w:rsid w:val="00EC7F38"/>
    <w:rsid w:val="00ED73D9"/>
    <w:rsid w:val="00EE2925"/>
    <w:rsid w:val="00F0630A"/>
    <w:rsid w:val="00F11B6A"/>
    <w:rsid w:val="00F14BA1"/>
    <w:rsid w:val="00F2079A"/>
    <w:rsid w:val="00F21832"/>
    <w:rsid w:val="00F32709"/>
    <w:rsid w:val="00F35ED6"/>
    <w:rsid w:val="00F543EE"/>
    <w:rsid w:val="00F56BDE"/>
    <w:rsid w:val="00F65519"/>
    <w:rsid w:val="00F7100C"/>
    <w:rsid w:val="00F74FAF"/>
    <w:rsid w:val="00F83E59"/>
    <w:rsid w:val="00F97F99"/>
    <w:rsid w:val="00FA4B23"/>
    <w:rsid w:val="00FB24E8"/>
    <w:rsid w:val="00FB28D4"/>
    <w:rsid w:val="00FB4B6C"/>
    <w:rsid w:val="00FC57B3"/>
    <w:rsid w:val="00FC6469"/>
    <w:rsid w:val="00FE10E4"/>
    <w:rsid w:val="00FE7940"/>
    <w:rsid w:val="00FF4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1BE13"/>
  <w15:docId w15:val="{4C8C466E-2211-401E-A4F3-3D50F937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B5D"/>
    <w:pPr>
      <w:autoSpaceDE w:val="0"/>
      <w:autoSpaceDN w:val="0"/>
      <w:spacing w:before="120"/>
      <w:ind w:firstLine="284"/>
      <w:jc w:val="both"/>
    </w:pPr>
    <w:rPr>
      <w:sz w:val="24"/>
      <w:lang w:val="cs-CZ" w:eastAsia="cs-CZ"/>
    </w:rPr>
  </w:style>
  <w:style w:type="paragraph" w:styleId="Heading1">
    <w:name w:val="heading 1"/>
    <w:basedOn w:val="Normal"/>
    <w:next w:val="Normal"/>
    <w:qFormat/>
    <w:rsid w:val="00D11BE4"/>
    <w:pPr>
      <w:keepNext/>
      <w:numPr>
        <w:numId w:val="2"/>
      </w:numPr>
      <w:shd w:val="clear" w:color="auto" w:fill="FFFFFF"/>
      <w:spacing w:before="360" w:after="120"/>
      <w:outlineLvl w:val="0"/>
    </w:pPr>
    <w:rPr>
      <w:b/>
      <w:bCs/>
      <w:kern w:val="28"/>
      <w:sz w:val="28"/>
      <w:szCs w:val="28"/>
      <w:lang w:val="en-US"/>
    </w:rPr>
  </w:style>
  <w:style w:type="paragraph" w:styleId="Heading2">
    <w:name w:val="heading 2"/>
    <w:basedOn w:val="Normal"/>
    <w:next w:val="Normal"/>
    <w:qFormat/>
    <w:rsid w:val="00183509"/>
    <w:pPr>
      <w:keepNext/>
      <w:numPr>
        <w:ilvl w:val="1"/>
        <w:numId w:val="1"/>
      </w:numPr>
      <w:tabs>
        <w:tab w:val="right" w:pos="454"/>
      </w:tabs>
      <w:spacing w:before="240" w:after="120"/>
      <w:ind w:left="340" w:hanging="340"/>
      <w:outlineLvl w:val="1"/>
    </w:pPr>
    <w:rPr>
      <w:b/>
      <w:bCs/>
      <w:szCs w:val="24"/>
      <w:lang w:val="en-US"/>
    </w:rPr>
  </w:style>
  <w:style w:type="paragraph" w:styleId="Heading3">
    <w:name w:val="heading 3"/>
    <w:basedOn w:val="Normal"/>
    <w:next w:val="Normal"/>
    <w:qFormat/>
    <w:rsid w:val="00183509"/>
    <w:pPr>
      <w:keepNext/>
      <w:numPr>
        <w:ilvl w:val="2"/>
        <w:numId w:val="1"/>
      </w:numPr>
      <w:spacing w:after="60"/>
      <w:outlineLvl w:val="2"/>
    </w:pPr>
    <w:rPr>
      <w:b/>
      <w:bCs/>
      <w:szCs w:val="22"/>
      <w:lang w:val="en-US"/>
    </w:rPr>
  </w:style>
  <w:style w:type="paragraph" w:styleId="Heading4">
    <w:name w:val="heading 4"/>
    <w:basedOn w:val="Normal"/>
    <w:next w:val="Normal"/>
    <w:qFormat/>
    <w:rsid w:val="00F11B6A"/>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Heading5">
    <w:name w:val="heading 5"/>
    <w:basedOn w:val="Normal"/>
    <w:next w:val="Normal"/>
    <w:qFormat/>
    <w:rsid w:val="00F11B6A"/>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Heading6">
    <w:name w:val="heading 6"/>
    <w:basedOn w:val="Normal"/>
    <w:next w:val="Normal"/>
    <w:qFormat/>
    <w:rsid w:val="00F11B6A"/>
    <w:pPr>
      <w:numPr>
        <w:ilvl w:val="5"/>
        <w:numId w:val="1"/>
      </w:numPr>
      <w:tabs>
        <w:tab w:val="num" w:pos="0"/>
      </w:tabs>
      <w:spacing w:before="240" w:after="60"/>
      <w:ind w:left="340" w:hanging="340"/>
      <w:outlineLvl w:val="5"/>
    </w:pPr>
    <w:rPr>
      <w:i/>
      <w:iCs/>
      <w:sz w:val="22"/>
      <w:szCs w:val="22"/>
      <w:lang w:val="en-US"/>
    </w:rPr>
  </w:style>
  <w:style w:type="paragraph" w:styleId="Heading7">
    <w:name w:val="heading 7"/>
    <w:basedOn w:val="Normal"/>
    <w:next w:val="Normal"/>
    <w:qFormat/>
    <w:rsid w:val="00F11B6A"/>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Heading8">
    <w:name w:val="heading 8"/>
    <w:basedOn w:val="Normal"/>
    <w:next w:val="Normal"/>
    <w:qFormat/>
    <w:rsid w:val="00F11B6A"/>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Heading9">
    <w:name w:val="heading 9"/>
    <w:basedOn w:val="Normal"/>
    <w:next w:val="Normal"/>
    <w:qFormat/>
    <w:rsid w:val="00F11B6A"/>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1B6A"/>
    <w:rPr>
      <w:szCs w:val="24"/>
      <w:lang w:val="en-US"/>
    </w:rPr>
  </w:style>
  <w:style w:type="paragraph" w:customStyle="1" w:styleId="Abstract">
    <w:name w:val="Abstract"/>
    <w:rsid w:val="00F11B6A"/>
    <w:pPr>
      <w:autoSpaceDE w:val="0"/>
      <w:autoSpaceDN w:val="0"/>
      <w:ind w:right="567"/>
      <w:jc w:val="both"/>
    </w:pPr>
    <w:rPr>
      <w:sz w:val="22"/>
      <w:szCs w:val="22"/>
      <w:lang w:eastAsia="cs-CZ"/>
    </w:rPr>
  </w:style>
  <w:style w:type="paragraph" w:customStyle="1" w:styleId="KeywordTitle">
    <w:name w:val="Keyword Title"/>
    <w:rsid w:val="00F11B6A"/>
    <w:pPr>
      <w:autoSpaceDE w:val="0"/>
      <w:autoSpaceDN w:val="0"/>
      <w:spacing w:before="240" w:after="120"/>
      <w:ind w:right="567"/>
    </w:pPr>
    <w:rPr>
      <w:b/>
      <w:bCs/>
      <w:sz w:val="22"/>
      <w:szCs w:val="22"/>
      <w:lang w:eastAsia="cs-CZ"/>
    </w:rPr>
  </w:style>
  <w:style w:type="paragraph" w:customStyle="1" w:styleId="Keyword">
    <w:name w:val="Keyword"/>
    <w:rsid w:val="00F11B6A"/>
    <w:pPr>
      <w:autoSpaceDE w:val="0"/>
      <w:autoSpaceDN w:val="0"/>
      <w:ind w:right="567"/>
      <w:jc w:val="both"/>
    </w:pPr>
    <w:rPr>
      <w:sz w:val="22"/>
      <w:szCs w:val="22"/>
      <w:lang w:eastAsia="cs-CZ"/>
    </w:rPr>
  </w:style>
  <w:style w:type="paragraph" w:customStyle="1" w:styleId="AbstractTitle">
    <w:name w:val="Abstract Title"/>
    <w:basedOn w:val="Abstract"/>
    <w:next w:val="Abstract"/>
    <w:rsid w:val="00F11B6A"/>
    <w:pPr>
      <w:spacing w:before="600" w:after="120"/>
      <w:jc w:val="left"/>
    </w:pPr>
    <w:rPr>
      <w:b/>
      <w:bCs/>
    </w:rPr>
  </w:style>
  <w:style w:type="paragraph" w:customStyle="1" w:styleId="Author">
    <w:name w:val="Author"/>
    <w:rsid w:val="00F11B6A"/>
    <w:pPr>
      <w:autoSpaceDE w:val="0"/>
      <w:autoSpaceDN w:val="0"/>
      <w:spacing w:before="120" w:after="120"/>
      <w:jc w:val="center"/>
    </w:pPr>
    <w:rPr>
      <w:sz w:val="22"/>
      <w:szCs w:val="22"/>
      <w:lang w:eastAsia="cs-CZ"/>
    </w:rPr>
  </w:style>
  <w:style w:type="paragraph" w:customStyle="1" w:styleId="BibItem">
    <w:name w:val="BibItem"/>
    <w:basedOn w:val="BodyText"/>
    <w:rsid w:val="00F11B6A"/>
    <w:pPr>
      <w:keepLines/>
      <w:numPr>
        <w:numId w:val="3"/>
      </w:numPr>
      <w:tabs>
        <w:tab w:val="clear" w:pos="1222"/>
      </w:tabs>
      <w:ind w:left="454" w:hanging="454"/>
    </w:pPr>
  </w:style>
  <w:style w:type="paragraph" w:styleId="ListNumber">
    <w:name w:val="List Number"/>
    <w:basedOn w:val="Normal"/>
    <w:rsid w:val="00F11B6A"/>
    <w:pPr>
      <w:numPr>
        <w:numId w:val="5"/>
      </w:numPr>
    </w:pPr>
    <w:rPr>
      <w:sz w:val="22"/>
      <w:szCs w:val="22"/>
      <w:lang w:val="en-US"/>
    </w:rPr>
  </w:style>
  <w:style w:type="paragraph" w:customStyle="1" w:styleId="Equation">
    <w:name w:val="Equation"/>
    <w:rsid w:val="00F11B6A"/>
    <w:pPr>
      <w:tabs>
        <w:tab w:val="center" w:pos="4536"/>
        <w:tab w:val="right" w:pos="9072"/>
      </w:tabs>
      <w:autoSpaceDE w:val="0"/>
      <w:autoSpaceDN w:val="0"/>
      <w:spacing w:before="160" w:after="120"/>
      <w:jc w:val="center"/>
    </w:pPr>
    <w:rPr>
      <w:sz w:val="22"/>
      <w:szCs w:val="22"/>
      <w:lang w:eastAsia="cs-CZ"/>
    </w:rPr>
  </w:style>
  <w:style w:type="paragraph" w:customStyle="1" w:styleId="Figure">
    <w:name w:val="Figure"/>
    <w:rsid w:val="00F11B6A"/>
    <w:pPr>
      <w:autoSpaceDE w:val="0"/>
      <w:autoSpaceDN w:val="0"/>
      <w:spacing w:before="240"/>
      <w:jc w:val="center"/>
    </w:pPr>
    <w:rPr>
      <w:sz w:val="22"/>
      <w:szCs w:val="22"/>
      <w:lang w:eastAsia="cs-CZ"/>
    </w:rPr>
  </w:style>
  <w:style w:type="paragraph" w:styleId="ListBullet">
    <w:name w:val="List Bullet"/>
    <w:basedOn w:val="Normal"/>
    <w:autoRedefine/>
    <w:rsid w:val="00F11B6A"/>
    <w:pPr>
      <w:numPr>
        <w:numId w:val="4"/>
      </w:numPr>
      <w:spacing w:before="60" w:after="60"/>
    </w:pPr>
    <w:rPr>
      <w:szCs w:val="22"/>
    </w:rPr>
  </w:style>
  <w:style w:type="paragraph" w:customStyle="1" w:styleId="Tabular">
    <w:name w:val="Tabular"/>
    <w:rsid w:val="00F11B6A"/>
    <w:pPr>
      <w:autoSpaceDE w:val="0"/>
      <w:autoSpaceDN w:val="0"/>
      <w:jc w:val="center"/>
    </w:pPr>
    <w:rPr>
      <w:sz w:val="22"/>
      <w:szCs w:val="22"/>
      <w:lang w:eastAsia="cs-CZ"/>
    </w:rPr>
  </w:style>
  <w:style w:type="paragraph" w:styleId="FootnoteText">
    <w:name w:val="footnote text"/>
    <w:basedOn w:val="Normal"/>
    <w:semiHidden/>
    <w:rsid w:val="00F11B6A"/>
    <w:rPr>
      <w:sz w:val="22"/>
      <w:szCs w:val="22"/>
    </w:rPr>
  </w:style>
  <w:style w:type="paragraph" w:styleId="Title">
    <w:name w:val="Title"/>
    <w:basedOn w:val="Normal"/>
    <w:link w:val="TitleChar"/>
    <w:qFormat/>
    <w:rsid w:val="003F0014"/>
    <w:pPr>
      <w:spacing w:before="480" w:after="120"/>
      <w:ind w:left="851" w:right="850"/>
      <w:jc w:val="center"/>
    </w:pPr>
    <w:rPr>
      <w:rFonts w:cs="Arial"/>
      <w:b/>
      <w:caps/>
      <w:sz w:val="32"/>
      <w:szCs w:val="32"/>
      <w:lang w:val="en-US"/>
    </w:rPr>
  </w:style>
  <w:style w:type="paragraph" w:styleId="Caption">
    <w:name w:val="caption"/>
    <w:basedOn w:val="Normal"/>
    <w:next w:val="Normal"/>
    <w:qFormat/>
    <w:rsid w:val="00F11B6A"/>
    <w:pPr>
      <w:spacing w:after="120"/>
      <w:ind w:left="567" w:right="539"/>
      <w:jc w:val="center"/>
    </w:pPr>
    <w:rPr>
      <w:sz w:val="22"/>
      <w:szCs w:val="22"/>
      <w:lang w:val="en-US"/>
    </w:rPr>
  </w:style>
  <w:style w:type="character" w:styleId="FootnoteReference">
    <w:name w:val="footnote reference"/>
    <w:semiHidden/>
    <w:rsid w:val="00F11B6A"/>
    <w:rPr>
      <w:vertAlign w:val="superscript"/>
    </w:rPr>
  </w:style>
  <w:style w:type="paragraph" w:styleId="Header">
    <w:name w:val="header"/>
    <w:basedOn w:val="Normal"/>
    <w:link w:val="HeaderChar"/>
    <w:rsid w:val="00F11B6A"/>
    <w:pPr>
      <w:tabs>
        <w:tab w:val="center" w:pos="4536"/>
        <w:tab w:val="right" w:pos="9072"/>
      </w:tabs>
    </w:pPr>
    <w:rPr>
      <w:sz w:val="22"/>
      <w:szCs w:val="22"/>
      <w:lang w:val="en-US"/>
    </w:rPr>
  </w:style>
  <w:style w:type="character" w:customStyle="1" w:styleId="Emphasized">
    <w:name w:val="Emphasized"/>
    <w:rsid w:val="00F11B6A"/>
    <w:rPr>
      <w:i/>
      <w:iCs/>
    </w:rPr>
  </w:style>
  <w:style w:type="paragraph" w:styleId="Footer">
    <w:name w:val="footer"/>
    <w:basedOn w:val="Normal"/>
    <w:link w:val="FooterChar"/>
    <w:uiPriority w:val="99"/>
    <w:rsid w:val="00F11B6A"/>
    <w:pPr>
      <w:tabs>
        <w:tab w:val="center" w:pos="4536"/>
        <w:tab w:val="right" w:pos="9072"/>
      </w:tabs>
    </w:pPr>
    <w:rPr>
      <w:sz w:val="22"/>
      <w:szCs w:val="22"/>
      <w:lang w:val="en-US"/>
    </w:rPr>
  </w:style>
  <w:style w:type="character" w:styleId="PageNumber">
    <w:name w:val="page number"/>
    <w:basedOn w:val="DefaultParagraphFont"/>
    <w:rsid w:val="00F11B6A"/>
  </w:style>
  <w:style w:type="paragraph" w:customStyle="1" w:styleId="Literatura">
    <w:name w:val="Literatura"/>
    <w:rsid w:val="00F11B6A"/>
    <w:pPr>
      <w:keepNext/>
      <w:autoSpaceDE w:val="0"/>
      <w:autoSpaceDN w:val="0"/>
      <w:spacing w:before="360" w:after="60"/>
    </w:pPr>
    <w:rPr>
      <w:b/>
      <w:bCs/>
      <w:kern w:val="28"/>
      <w:sz w:val="30"/>
      <w:szCs w:val="30"/>
      <w:lang w:eastAsia="cs-CZ"/>
    </w:rPr>
  </w:style>
  <w:style w:type="character" w:styleId="Hyperlink">
    <w:name w:val="Hyperlink"/>
    <w:qFormat/>
    <w:rsid w:val="00F11B6A"/>
    <w:rPr>
      <w:color w:val="0000FF"/>
      <w:u w:val="single"/>
    </w:rPr>
  </w:style>
  <w:style w:type="paragraph" w:styleId="BodyTextIndent">
    <w:name w:val="Body Text Indent"/>
    <w:basedOn w:val="Normal"/>
    <w:rsid w:val="00F11B6A"/>
    <w:pPr>
      <w:tabs>
        <w:tab w:val="left" w:pos="709"/>
      </w:tabs>
      <w:spacing w:line="360" w:lineRule="auto"/>
      <w:ind w:firstLine="567"/>
    </w:pPr>
    <w:rPr>
      <w:szCs w:val="24"/>
    </w:rPr>
  </w:style>
  <w:style w:type="paragraph" w:styleId="BodyTextIndent3">
    <w:name w:val="Body Text Indent 3"/>
    <w:basedOn w:val="Normal"/>
    <w:rsid w:val="00F11B6A"/>
    <w:pPr>
      <w:ind w:firstLine="567"/>
    </w:pPr>
    <w:rPr>
      <w:szCs w:val="24"/>
    </w:rPr>
  </w:style>
  <w:style w:type="paragraph" w:styleId="BodyTextIndent2">
    <w:name w:val="Body Text Indent 2"/>
    <w:basedOn w:val="Normal"/>
    <w:rsid w:val="00F11B6A"/>
    <w:pPr>
      <w:spacing w:line="360" w:lineRule="auto"/>
      <w:ind w:firstLine="709"/>
    </w:pPr>
    <w:rPr>
      <w:sz w:val="22"/>
      <w:szCs w:val="22"/>
    </w:rPr>
  </w:style>
  <w:style w:type="character" w:styleId="Emphasis">
    <w:name w:val="Emphasis"/>
    <w:uiPriority w:val="20"/>
    <w:qFormat/>
    <w:rsid w:val="00A83512"/>
    <w:rPr>
      <w:i/>
      <w:iCs/>
    </w:rPr>
  </w:style>
  <w:style w:type="paragraph" w:customStyle="1" w:styleId="Tabulka">
    <w:name w:val="Tabulka"/>
    <w:basedOn w:val="BodyText"/>
    <w:rsid w:val="00F11B6A"/>
    <w:pPr>
      <w:ind w:firstLine="0"/>
    </w:pPr>
    <w:rPr>
      <w:lang w:val="cs-CZ"/>
    </w:rPr>
  </w:style>
  <w:style w:type="paragraph" w:customStyle="1" w:styleId="Nadpistabulky">
    <w:name w:val="Nadpis tabulky"/>
    <w:basedOn w:val="BodyText"/>
    <w:rsid w:val="00F11B6A"/>
    <w:pPr>
      <w:ind w:firstLine="0"/>
    </w:pPr>
    <w:rPr>
      <w:i/>
      <w:iCs/>
      <w:sz w:val="20"/>
      <w:szCs w:val="20"/>
      <w:lang w:val="cs-CZ"/>
    </w:rPr>
  </w:style>
  <w:style w:type="paragraph" w:customStyle="1" w:styleId="Nadpisobrzku">
    <w:name w:val="Nadpis obrázku"/>
    <w:basedOn w:val="Nadpistabulky"/>
    <w:rsid w:val="00F11B6A"/>
    <w:pPr>
      <w:jc w:val="center"/>
    </w:pPr>
  </w:style>
  <w:style w:type="paragraph" w:customStyle="1" w:styleId="TTPAddress">
    <w:name w:val="TTP Address"/>
    <w:basedOn w:val="Normal"/>
    <w:uiPriority w:val="99"/>
    <w:rsid w:val="006C5AA4"/>
    <w:pPr>
      <w:jc w:val="center"/>
    </w:pPr>
    <w:rPr>
      <w:rFonts w:ascii="Arial" w:eastAsia="SimSun" w:hAnsi="Arial"/>
      <w:sz w:val="22"/>
      <w:lang w:val="en-US" w:eastAsia="en-US"/>
    </w:rPr>
  </w:style>
  <w:style w:type="paragraph" w:customStyle="1" w:styleId="TTPTitle">
    <w:name w:val="TTP Title"/>
    <w:basedOn w:val="Normal"/>
    <w:next w:val="Normal"/>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al"/>
    <w:next w:val="Normal"/>
    <w:uiPriority w:val="99"/>
    <w:rsid w:val="006C5AA4"/>
    <w:pPr>
      <w:spacing w:before="360"/>
    </w:pPr>
    <w:rPr>
      <w:rFonts w:eastAsia="SimSun"/>
      <w:lang w:val="en-US" w:eastAsia="en-US"/>
    </w:rPr>
  </w:style>
  <w:style w:type="paragraph" w:customStyle="1" w:styleId="TTPKeywords">
    <w:name w:val="TTP Keywords"/>
    <w:basedOn w:val="Normal"/>
    <w:next w:val="TTPAbstract"/>
    <w:uiPriority w:val="99"/>
    <w:qFormat/>
    <w:rsid w:val="006C5AA4"/>
    <w:pPr>
      <w:spacing w:before="360"/>
    </w:pPr>
    <w:rPr>
      <w:rFonts w:ascii="Arial" w:eastAsia="SimSun" w:hAnsi="Arial"/>
      <w:sz w:val="22"/>
      <w:lang w:val="en-US" w:eastAsia="en-US"/>
    </w:rPr>
  </w:style>
  <w:style w:type="paragraph" w:customStyle="1" w:styleId="References">
    <w:name w:val="References"/>
    <w:basedOn w:val="Normal"/>
    <w:rsid w:val="006C5AA4"/>
    <w:pPr>
      <w:numPr>
        <w:numId w:val="12"/>
      </w:numPr>
    </w:pPr>
    <w:rPr>
      <w:rFonts w:eastAsia="PMingLiU"/>
      <w:sz w:val="16"/>
      <w:szCs w:val="16"/>
      <w:lang w:val="en-US" w:eastAsia="en-US"/>
    </w:rPr>
  </w:style>
  <w:style w:type="paragraph" w:customStyle="1" w:styleId="Text">
    <w:name w:val="Text"/>
    <w:basedOn w:val="Normal"/>
    <w:rsid w:val="006C5AA4"/>
    <w:pPr>
      <w:widowControl w:val="0"/>
      <w:spacing w:line="252" w:lineRule="auto"/>
      <w:ind w:firstLine="202"/>
    </w:pPr>
    <w:rPr>
      <w:rFonts w:eastAsia="PMingLiU"/>
      <w:lang w:val="en-US" w:eastAsia="en-US"/>
    </w:rPr>
  </w:style>
  <w:style w:type="paragraph" w:customStyle="1" w:styleId="ReferenceHead">
    <w:name w:val="Reference Head"/>
    <w:basedOn w:val="Heading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al"/>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al"/>
    <w:next w:val="TTPParagraphothers"/>
    <w:uiPriority w:val="99"/>
    <w:unhideWhenUsed/>
    <w:rsid w:val="00B5164D"/>
    <w:rPr>
      <w:rFonts w:eastAsia="SimSun" w:hint="eastAsia"/>
      <w:lang w:val="en-US" w:eastAsia="en-US"/>
    </w:rPr>
  </w:style>
  <w:style w:type="paragraph" w:customStyle="1" w:styleId="TTPSectionHeading">
    <w:name w:val="TTP Section Heading"/>
    <w:basedOn w:val="Normal"/>
    <w:next w:val="TTPParagraph1st"/>
    <w:uiPriority w:val="99"/>
    <w:unhideWhenUsed/>
    <w:rsid w:val="00B5164D"/>
    <w:pPr>
      <w:spacing w:before="360" w:after="120"/>
    </w:pPr>
    <w:rPr>
      <w:rFonts w:eastAsia="SimSun" w:hint="eastAsia"/>
      <w:b/>
      <w:lang w:val="en-US" w:eastAsia="en-US"/>
    </w:rPr>
  </w:style>
  <w:style w:type="paragraph" w:customStyle="1" w:styleId="a">
    <w:name w:val="文献"/>
    <w:basedOn w:val="Normal"/>
    <w:unhideWhenUsed/>
    <w:qFormat/>
    <w:rsid w:val="003F0014"/>
    <w:pPr>
      <w:tabs>
        <w:tab w:val="num" w:pos="432"/>
      </w:tabs>
      <w:autoSpaceDE/>
      <w:autoSpaceDN/>
      <w:spacing w:after="120" w:line="280" w:lineRule="exact"/>
      <w:ind w:left="432" w:hanging="432"/>
    </w:pPr>
    <w:rPr>
      <w:rFonts w:eastAsia="MS Mincho" w:hint="eastAsia"/>
      <w:kern w:val="2"/>
      <w:shd w:val="clear" w:color="auto" w:fill="FFFFFF"/>
      <w:lang w:val="en-US" w:eastAsia="ja-JP"/>
    </w:rPr>
  </w:style>
  <w:style w:type="table" w:styleId="TableGrid">
    <w:name w:val="Table Grid"/>
    <w:basedOn w:val="TableNormal"/>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17760"/>
    <w:rPr>
      <w:sz w:val="22"/>
      <w:szCs w:val="22"/>
      <w:lang w:val="en-US" w:eastAsia="cs-CZ"/>
    </w:rPr>
  </w:style>
  <w:style w:type="character" w:customStyle="1" w:styleId="TitleChar">
    <w:name w:val="Title Char"/>
    <w:link w:val="Title"/>
    <w:rsid w:val="007863B5"/>
    <w:rPr>
      <w:rFonts w:cs="Arial"/>
      <w:b/>
      <w:caps/>
      <w:sz w:val="32"/>
      <w:szCs w:val="32"/>
      <w:lang w:val="en-US" w:eastAsia="cs-CZ"/>
    </w:rPr>
  </w:style>
  <w:style w:type="character" w:styleId="FollowedHyperlink">
    <w:name w:val="FollowedHyperlink"/>
    <w:rsid w:val="00983159"/>
    <w:rPr>
      <w:color w:val="954F72"/>
      <w:u w:val="single"/>
    </w:rPr>
  </w:style>
  <w:style w:type="paragraph" w:customStyle="1" w:styleId="ReferencesText">
    <w:name w:val="References Text"/>
    <w:basedOn w:val="Normal"/>
    <w:rsid w:val="00983159"/>
    <w:pPr>
      <w:autoSpaceDE/>
      <w:autoSpaceDN/>
      <w:spacing w:before="0" w:after="40"/>
      <w:ind w:left="284" w:hanging="284"/>
    </w:pPr>
    <w:rPr>
      <w:sz w:val="18"/>
      <w:szCs w:val="24"/>
      <w:lang w:val="en-US" w:eastAsia="en-US"/>
    </w:rPr>
  </w:style>
  <w:style w:type="character" w:customStyle="1" w:styleId="apple-converted-space">
    <w:name w:val="apple-converted-space"/>
    <w:rsid w:val="00F0630A"/>
  </w:style>
  <w:style w:type="character" w:styleId="Strong">
    <w:name w:val="Strong"/>
    <w:uiPriority w:val="22"/>
    <w:qFormat/>
    <w:rsid w:val="00E74F90"/>
    <w:rPr>
      <w:b/>
      <w:bCs/>
    </w:rPr>
  </w:style>
  <w:style w:type="paragraph" w:styleId="BalloonText">
    <w:name w:val="Balloon Text"/>
    <w:basedOn w:val="Normal"/>
    <w:link w:val="BalloonTextChar"/>
    <w:rsid w:val="00624A54"/>
    <w:pPr>
      <w:spacing w:before="0"/>
    </w:pPr>
    <w:rPr>
      <w:rFonts w:ascii="Tahoma" w:hAnsi="Tahoma" w:cs="Tahoma"/>
      <w:sz w:val="16"/>
      <w:szCs w:val="16"/>
    </w:rPr>
  </w:style>
  <w:style w:type="character" w:customStyle="1" w:styleId="BalloonTextChar">
    <w:name w:val="Balloon Text Char"/>
    <w:link w:val="BalloonText"/>
    <w:rsid w:val="00624A54"/>
    <w:rPr>
      <w:rFonts w:ascii="Tahoma" w:hAnsi="Tahoma" w:cs="Tahoma"/>
      <w:sz w:val="16"/>
      <w:szCs w:val="16"/>
      <w:lang w:val="cs-CZ" w:eastAsia="cs-CZ"/>
    </w:rPr>
  </w:style>
  <w:style w:type="paragraph" w:styleId="DocumentMap">
    <w:name w:val="Document Map"/>
    <w:basedOn w:val="Normal"/>
    <w:link w:val="DocumentMapChar"/>
    <w:rsid w:val="00624A54"/>
    <w:pPr>
      <w:spacing w:before="0"/>
    </w:pPr>
    <w:rPr>
      <w:rFonts w:ascii="Tahoma" w:hAnsi="Tahoma" w:cs="Tahoma"/>
      <w:sz w:val="16"/>
      <w:szCs w:val="16"/>
    </w:rPr>
  </w:style>
  <w:style w:type="character" w:customStyle="1" w:styleId="DocumentMapChar">
    <w:name w:val="Document Map Char"/>
    <w:link w:val="DocumentMap"/>
    <w:rsid w:val="00624A54"/>
    <w:rPr>
      <w:rFonts w:ascii="Tahoma" w:hAnsi="Tahoma" w:cs="Tahoma"/>
      <w:sz w:val="16"/>
      <w:szCs w:val="16"/>
      <w:lang w:val="cs-CZ" w:eastAsia="cs-CZ"/>
    </w:rPr>
  </w:style>
  <w:style w:type="paragraph" w:styleId="NoSpacing">
    <w:name w:val="No Spacing"/>
    <w:uiPriority w:val="1"/>
    <w:qFormat/>
    <w:rsid w:val="00CC7400"/>
    <w:rPr>
      <w:rFonts w:ascii="Aptos" w:eastAsia="Aptos" w:hAnsi="Aptos"/>
      <w:kern w:val="2"/>
      <w:sz w:val="22"/>
      <w:szCs w:val="22"/>
    </w:rPr>
  </w:style>
  <w:style w:type="character" w:styleId="CommentReference">
    <w:name w:val="annotation reference"/>
    <w:basedOn w:val="DefaultParagraphFont"/>
    <w:semiHidden/>
    <w:unhideWhenUsed/>
    <w:rsid w:val="00FB4B6C"/>
    <w:rPr>
      <w:sz w:val="16"/>
      <w:szCs w:val="16"/>
    </w:rPr>
  </w:style>
  <w:style w:type="paragraph" w:styleId="CommentText">
    <w:name w:val="annotation text"/>
    <w:basedOn w:val="Normal"/>
    <w:link w:val="CommentTextChar"/>
    <w:semiHidden/>
    <w:unhideWhenUsed/>
    <w:rsid w:val="00FB4B6C"/>
    <w:rPr>
      <w:sz w:val="20"/>
    </w:rPr>
  </w:style>
  <w:style w:type="character" w:customStyle="1" w:styleId="CommentTextChar">
    <w:name w:val="Comment Text Char"/>
    <w:basedOn w:val="DefaultParagraphFont"/>
    <w:link w:val="CommentText"/>
    <w:semiHidden/>
    <w:rsid w:val="00FB4B6C"/>
    <w:rPr>
      <w:lang w:val="cs-CZ" w:eastAsia="cs-CZ"/>
    </w:rPr>
  </w:style>
  <w:style w:type="paragraph" w:styleId="CommentSubject">
    <w:name w:val="annotation subject"/>
    <w:basedOn w:val="CommentText"/>
    <w:next w:val="CommentText"/>
    <w:link w:val="CommentSubjectChar"/>
    <w:semiHidden/>
    <w:unhideWhenUsed/>
    <w:rsid w:val="00FB4B6C"/>
    <w:rPr>
      <w:b/>
      <w:bCs/>
    </w:rPr>
  </w:style>
  <w:style w:type="character" w:customStyle="1" w:styleId="CommentSubjectChar">
    <w:name w:val="Comment Subject Char"/>
    <w:basedOn w:val="CommentTextChar"/>
    <w:link w:val="CommentSubject"/>
    <w:semiHidden/>
    <w:rsid w:val="00FB4B6C"/>
    <w:rPr>
      <w:b/>
      <w:bCs/>
      <w:lang w:val="cs-CZ" w:eastAsia="cs-CZ"/>
    </w:rPr>
  </w:style>
  <w:style w:type="paragraph" w:styleId="NormalWeb">
    <w:name w:val="Normal (Web)"/>
    <w:basedOn w:val="Normal"/>
    <w:uiPriority w:val="99"/>
    <w:unhideWhenUsed/>
    <w:qFormat/>
    <w:rsid w:val="00FB4B6C"/>
    <w:pPr>
      <w:autoSpaceDE/>
      <w:autoSpaceDN/>
      <w:spacing w:before="100" w:beforeAutospacing="1" w:after="100" w:afterAutospacing="1"/>
      <w:ind w:firstLine="0"/>
      <w:jc w:val="left"/>
    </w:pPr>
    <w:rPr>
      <w:szCs w:val="24"/>
      <w:lang w:val="en-US" w:eastAsia="en-US"/>
    </w:rPr>
  </w:style>
  <w:style w:type="character" w:customStyle="1" w:styleId="UnresolvedMention1">
    <w:name w:val="Unresolved Mention1"/>
    <w:basedOn w:val="DefaultParagraphFont"/>
    <w:uiPriority w:val="99"/>
    <w:semiHidden/>
    <w:unhideWhenUsed/>
    <w:rsid w:val="00EC5563"/>
    <w:rPr>
      <w:color w:val="605E5C"/>
      <w:shd w:val="clear" w:color="auto" w:fill="E1DFDD"/>
    </w:rPr>
  </w:style>
  <w:style w:type="character" w:customStyle="1" w:styleId="FooterChar">
    <w:name w:val="Footer Char"/>
    <w:basedOn w:val="DefaultParagraphFont"/>
    <w:link w:val="Footer"/>
    <w:uiPriority w:val="99"/>
    <w:rsid w:val="00D11BE4"/>
    <w:rPr>
      <w:sz w:val="22"/>
      <w:szCs w:val="22"/>
      <w:lang w:eastAsia="cs-CZ"/>
    </w:rPr>
  </w:style>
  <w:style w:type="character" w:styleId="UnresolvedMention">
    <w:name w:val="Unresolved Mention"/>
    <w:basedOn w:val="DefaultParagraphFont"/>
    <w:uiPriority w:val="99"/>
    <w:semiHidden/>
    <w:unhideWhenUsed/>
    <w:rsid w:val="00995952"/>
    <w:rPr>
      <w:color w:val="605E5C"/>
      <w:shd w:val="clear" w:color="auto" w:fill="E1DFDD"/>
    </w:rPr>
  </w:style>
  <w:style w:type="character" w:customStyle="1" w:styleId="ts-alignment-element-highlighted">
    <w:name w:val="ts-alignment-element-highlighted"/>
    <w:basedOn w:val="DefaultParagraphFont"/>
    <w:rsid w:val="00441E73"/>
  </w:style>
  <w:style w:type="character" w:customStyle="1" w:styleId="maintitle">
    <w:name w:val="maintitle"/>
    <w:basedOn w:val="DefaultParagraphFont"/>
    <w:rsid w:val="00441E73"/>
  </w:style>
  <w:style w:type="paragraph" w:styleId="Bibliography">
    <w:name w:val="Bibliography"/>
    <w:basedOn w:val="Normal"/>
    <w:next w:val="Normal"/>
    <w:uiPriority w:val="37"/>
    <w:unhideWhenUsed/>
    <w:rsid w:val="004360F1"/>
    <w:rPr>
      <w:lang w:val="en-US"/>
    </w:rPr>
  </w:style>
  <w:style w:type="paragraph" w:styleId="ListParagraph">
    <w:name w:val="List Paragraph"/>
    <w:basedOn w:val="Normal"/>
    <w:uiPriority w:val="34"/>
    <w:qFormat/>
    <w:rsid w:val="00436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1570">
      <w:bodyDiv w:val="1"/>
      <w:marLeft w:val="0"/>
      <w:marRight w:val="0"/>
      <w:marTop w:val="0"/>
      <w:marBottom w:val="0"/>
      <w:divBdr>
        <w:top w:val="none" w:sz="0" w:space="0" w:color="auto"/>
        <w:left w:val="none" w:sz="0" w:space="0" w:color="auto"/>
        <w:bottom w:val="none" w:sz="0" w:space="0" w:color="auto"/>
        <w:right w:val="none" w:sz="0" w:space="0" w:color="auto"/>
      </w:divBdr>
      <w:divsChild>
        <w:div w:id="751783698">
          <w:marLeft w:val="0"/>
          <w:marRight w:val="0"/>
          <w:marTop w:val="0"/>
          <w:marBottom w:val="0"/>
          <w:divBdr>
            <w:top w:val="none" w:sz="0" w:space="0" w:color="auto"/>
            <w:left w:val="none" w:sz="0" w:space="0" w:color="auto"/>
            <w:bottom w:val="none" w:sz="0" w:space="0" w:color="auto"/>
            <w:right w:val="none" w:sz="0" w:space="0" w:color="auto"/>
          </w:divBdr>
          <w:divsChild>
            <w:div w:id="1790969671">
              <w:marLeft w:val="0"/>
              <w:marRight w:val="0"/>
              <w:marTop w:val="0"/>
              <w:marBottom w:val="0"/>
              <w:divBdr>
                <w:top w:val="none" w:sz="0" w:space="0" w:color="auto"/>
                <w:left w:val="none" w:sz="0" w:space="0" w:color="auto"/>
                <w:bottom w:val="none" w:sz="0" w:space="0" w:color="auto"/>
                <w:right w:val="none" w:sz="0" w:space="0" w:color="auto"/>
              </w:divBdr>
              <w:divsChild>
                <w:div w:id="936254622">
                  <w:marLeft w:val="0"/>
                  <w:marRight w:val="0"/>
                  <w:marTop w:val="0"/>
                  <w:marBottom w:val="0"/>
                  <w:divBdr>
                    <w:top w:val="none" w:sz="0" w:space="0" w:color="auto"/>
                    <w:left w:val="none" w:sz="0" w:space="0" w:color="auto"/>
                    <w:bottom w:val="none" w:sz="0" w:space="0" w:color="auto"/>
                    <w:right w:val="none" w:sz="0" w:space="0" w:color="auto"/>
                  </w:divBdr>
                  <w:divsChild>
                    <w:div w:id="1274050299">
                      <w:marLeft w:val="0"/>
                      <w:marRight w:val="0"/>
                      <w:marTop w:val="0"/>
                      <w:marBottom w:val="0"/>
                      <w:divBdr>
                        <w:top w:val="none" w:sz="0" w:space="0" w:color="auto"/>
                        <w:left w:val="none" w:sz="0" w:space="0" w:color="auto"/>
                        <w:bottom w:val="none" w:sz="0" w:space="0" w:color="auto"/>
                        <w:right w:val="none" w:sz="0" w:space="0" w:color="auto"/>
                      </w:divBdr>
                      <w:divsChild>
                        <w:div w:id="1584991788">
                          <w:marLeft w:val="0"/>
                          <w:marRight w:val="0"/>
                          <w:marTop w:val="0"/>
                          <w:marBottom w:val="0"/>
                          <w:divBdr>
                            <w:top w:val="none" w:sz="0" w:space="0" w:color="auto"/>
                            <w:left w:val="none" w:sz="0" w:space="0" w:color="auto"/>
                            <w:bottom w:val="none" w:sz="0" w:space="0" w:color="auto"/>
                            <w:right w:val="none" w:sz="0" w:space="0" w:color="auto"/>
                          </w:divBdr>
                          <w:divsChild>
                            <w:div w:id="2184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370695">
      <w:bodyDiv w:val="1"/>
      <w:marLeft w:val="0"/>
      <w:marRight w:val="0"/>
      <w:marTop w:val="0"/>
      <w:marBottom w:val="0"/>
      <w:divBdr>
        <w:top w:val="none" w:sz="0" w:space="0" w:color="auto"/>
        <w:left w:val="none" w:sz="0" w:space="0" w:color="auto"/>
        <w:bottom w:val="none" w:sz="0" w:space="0" w:color="auto"/>
        <w:right w:val="none" w:sz="0" w:space="0" w:color="auto"/>
      </w:divBdr>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794380">
      <w:bodyDiv w:val="1"/>
      <w:marLeft w:val="0"/>
      <w:marRight w:val="0"/>
      <w:marTop w:val="0"/>
      <w:marBottom w:val="0"/>
      <w:divBdr>
        <w:top w:val="none" w:sz="0" w:space="0" w:color="auto"/>
        <w:left w:val="none" w:sz="0" w:space="0" w:color="auto"/>
        <w:bottom w:val="none" w:sz="0" w:space="0" w:color="auto"/>
        <w:right w:val="none" w:sz="0" w:space="0" w:color="auto"/>
      </w:divBdr>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350763297">
      <w:bodyDiv w:val="1"/>
      <w:marLeft w:val="0"/>
      <w:marRight w:val="0"/>
      <w:marTop w:val="0"/>
      <w:marBottom w:val="0"/>
      <w:divBdr>
        <w:top w:val="none" w:sz="0" w:space="0" w:color="auto"/>
        <w:left w:val="none" w:sz="0" w:space="0" w:color="auto"/>
        <w:bottom w:val="none" w:sz="0" w:space="0" w:color="auto"/>
        <w:right w:val="none" w:sz="0" w:space="0" w:color="auto"/>
      </w:divBdr>
    </w:div>
    <w:div w:id="361395457">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713189045">
      <w:bodyDiv w:val="1"/>
      <w:marLeft w:val="0"/>
      <w:marRight w:val="0"/>
      <w:marTop w:val="0"/>
      <w:marBottom w:val="0"/>
      <w:divBdr>
        <w:top w:val="none" w:sz="0" w:space="0" w:color="auto"/>
        <w:left w:val="none" w:sz="0" w:space="0" w:color="auto"/>
        <w:bottom w:val="none" w:sz="0" w:space="0" w:color="auto"/>
        <w:right w:val="none" w:sz="0" w:space="0" w:color="auto"/>
      </w:divBdr>
    </w:div>
    <w:div w:id="765155341">
      <w:bodyDiv w:val="1"/>
      <w:marLeft w:val="0"/>
      <w:marRight w:val="0"/>
      <w:marTop w:val="0"/>
      <w:marBottom w:val="0"/>
      <w:divBdr>
        <w:top w:val="none" w:sz="0" w:space="0" w:color="auto"/>
        <w:left w:val="none" w:sz="0" w:space="0" w:color="auto"/>
        <w:bottom w:val="none" w:sz="0" w:space="0" w:color="auto"/>
        <w:right w:val="none" w:sz="0" w:space="0" w:color="auto"/>
      </w:divBdr>
      <w:divsChild>
        <w:div w:id="744836779">
          <w:marLeft w:val="0"/>
          <w:marRight w:val="0"/>
          <w:marTop w:val="0"/>
          <w:marBottom w:val="0"/>
          <w:divBdr>
            <w:top w:val="none" w:sz="0" w:space="0" w:color="auto"/>
            <w:left w:val="none" w:sz="0" w:space="0" w:color="auto"/>
            <w:bottom w:val="none" w:sz="0" w:space="0" w:color="auto"/>
            <w:right w:val="none" w:sz="0" w:space="0" w:color="auto"/>
          </w:divBdr>
          <w:divsChild>
            <w:div w:id="202061802">
              <w:marLeft w:val="0"/>
              <w:marRight w:val="0"/>
              <w:marTop w:val="0"/>
              <w:marBottom w:val="0"/>
              <w:divBdr>
                <w:top w:val="none" w:sz="0" w:space="0" w:color="auto"/>
                <w:left w:val="none" w:sz="0" w:space="0" w:color="auto"/>
                <w:bottom w:val="none" w:sz="0" w:space="0" w:color="auto"/>
                <w:right w:val="none" w:sz="0" w:space="0" w:color="auto"/>
              </w:divBdr>
            </w:div>
            <w:div w:id="333339603">
              <w:marLeft w:val="0"/>
              <w:marRight w:val="0"/>
              <w:marTop w:val="0"/>
              <w:marBottom w:val="0"/>
              <w:divBdr>
                <w:top w:val="none" w:sz="0" w:space="0" w:color="auto"/>
                <w:left w:val="none" w:sz="0" w:space="0" w:color="auto"/>
                <w:bottom w:val="none" w:sz="0" w:space="0" w:color="auto"/>
                <w:right w:val="none" w:sz="0" w:space="0" w:color="auto"/>
              </w:divBdr>
            </w:div>
            <w:div w:id="382173163">
              <w:marLeft w:val="0"/>
              <w:marRight w:val="0"/>
              <w:marTop w:val="0"/>
              <w:marBottom w:val="0"/>
              <w:divBdr>
                <w:top w:val="none" w:sz="0" w:space="0" w:color="auto"/>
                <w:left w:val="none" w:sz="0" w:space="0" w:color="auto"/>
                <w:bottom w:val="none" w:sz="0" w:space="0" w:color="auto"/>
                <w:right w:val="none" w:sz="0" w:space="0" w:color="auto"/>
              </w:divBdr>
            </w:div>
            <w:div w:id="650671130">
              <w:marLeft w:val="0"/>
              <w:marRight w:val="0"/>
              <w:marTop w:val="0"/>
              <w:marBottom w:val="0"/>
              <w:divBdr>
                <w:top w:val="none" w:sz="0" w:space="0" w:color="auto"/>
                <w:left w:val="none" w:sz="0" w:space="0" w:color="auto"/>
                <w:bottom w:val="none" w:sz="0" w:space="0" w:color="auto"/>
                <w:right w:val="none" w:sz="0" w:space="0" w:color="auto"/>
              </w:divBdr>
            </w:div>
            <w:div w:id="972445092">
              <w:marLeft w:val="0"/>
              <w:marRight w:val="0"/>
              <w:marTop w:val="0"/>
              <w:marBottom w:val="0"/>
              <w:divBdr>
                <w:top w:val="none" w:sz="0" w:space="0" w:color="auto"/>
                <w:left w:val="none" w:sz="0" w:space="0" w:color="auto"/>
                <w:bottom w:val="none" w:sz="0" w:space="0" w:color="auto"/>
                <w:right w:val="none" w:sz="0" w:space="0" w:color="auto"/>
              </w:divBdr>
            </w:div>
            <w:div w:id="1169908568">
              <w:marLeft w:val="0"/>
              <w:marRight w:val="0"/>
              <w:marTop w:val="0"/>
              <w:marBottom w:val="0"/>
              <w:divBdr>
                <w:top w:val="none" w:sz="0" w:space="0" w:color="auto"/>
                <w:left w:val="none" w:sz="0" w:space="0" w:color="auto"/>
                <w:bottom w:val="none" w:sz="0" w:space="0" w:color="auto"/>
                <w:right w:val="none" w:sz="0" w:space="0" w:color="auto"/>
              </w:divBdr>
            </w:div>
            <w:div w:id="1273585953">
              <w:marLeft w:val="0"/>
              <w:marRight w:val="0"/>
              <w:marTop w:val="0"/>
              <w:marBottom w:val="0"/>
              <w:divBdr>
                <w:top w:val="none" w:sz="0" w:space="0" w:color="auto"/>
                <w:left w:val="none" w:sz="0" w:space="0" w:color="auto"/>
                <w:bottom w:val="none" w:sz="0" w:space="0" w:color="auto"/>
                <w:right w:val="none" w:sz="0" w:space="0" w:color="auto"/>
              </w:divBdr>
            </w:div>
            <w:div w:id="1544829058">
              <w:marLeft w:val="0"/>
              <w:marRight w:val="0"/>
              <w:marTop w:val="0"/>
              <w:marBottom w:val="0"/>
              <w:divBdr>
                <w:top w:val="none" w:sz="0" w:space="0" w:color="auto"/>
                <w:left w:val="none" w:sz="0" w:space="0" w:color="auto"/>
                <w:bottom w:val="none" w:sz="0" w:space="0" w:color="auto"/>
                <w:right w:val="none" w:sz="0" w:space="0" w:color="auto"/>
              </w:divBdr>
            </w:div>
            <w:div w:id="1716851275">
              <w:marLeft w:val="0"/>
              <w:marRight w:val="0"/>
              <w:marTop w:val="0"/>
              <w:marBottom w:val="0"/>
              <w:divBdr>
                <w:top w:val="none" w:sz="0" w:space="0" w:color="auto"/>
                <w:left w:val="none" w:sz="0" w:space="0" w:color="auto"/>
                <w:bottom w:val="none" w:sz="0" w:space="0" w:color="auto"/>
                <w:right w:val="none" w:sz="0" w:space="0" w:color="auto"/>
              </w:divBdr>
            </w:div>
          </w:divsChild>
        </w:div>
        <w:div w:id="1141463261">
          <w:marLeft w:val="0"/>
          <w:marRight w:val="0"/>
          <w:marTop w:val="0"/>
          <w:marBottom w:val="0"/>
          <w:divBdr>
            <w:top w:val="none" w:sz="0" w:space="0" w:color="auto"/>
            <w:left w:val="none" w:sz="0" w:space="0" w:color="auto"/>
            <w:bottom w:val="none" w:sz="0" w:space="0" w:color="auto"/>
            <w:right w:val="none" w:sz="0" w:space="0" w:color="auto"/>
          </w:divBdr>
          <w:divsChild>
            <w:div w:id="155269452">
              <w:marLeft w:val="0"/>
              <w:marRight w:val="0"/>
              <w:marTop w:val="0"/>
              <w:marBottom w:val="0"/>
              <w:divBdr>
                <w:top w:val="none" w:sz="0" w:space="0" w:color="auto"/>
                <w:left w:val="none" w:sz="0" w:space="0" w:color="auto"/>
                <w:bottom w:val="none" w:sz="0" w:space="0" w:color="auto"/>
                <w:right w:val="none" w:sz="0" w:space="0" w:color="auto"/>
              </w:divBdr>
            </w:div>
            <w:div w:id="258106035">
              <w:marLeft w:val="0"/>
              <w:marRight w:val="0"/>
              <w:marTop w:val="0"/>
              <w:marBottom w:val="0"/>
              <w:divBdr>
                <w:top w:val="none" w:sz="0" w:space="0" w:color="auto"/>
                <w:left w:val="none" w:sz="0" w:space="0" w:color="auto"/>
                <w:bottom w:val="none" w:sz="0" w:space="0" w:color="auto"/>
                <w:right w:val="none" w:sz="0" w:space="0" w:color="auto"/>
              </w:divBdr>
            </w:div>
            <w:div w:id="503320469">
              <w:marLeft w:val="0"/>
              <w:marRight w:val="0"/>
              <w:marTop w:val="0"/>
              <w:marBottom w:val="0"/>
              <w:divBdr>
                <w:top w:val="none" w:sz="0" w:space="0" w:color="auto"/>
                <w:left w:val="none" w:sz="0" w:space="0" w:color="auto"/>
                <w:bottom w:val="none" w:sz="0" w:space="0" w:color="auto"/>
                <w:right w:val="none" w:sz="0" w:space="0" w:color="auto"/>
              </w:divBdr>
            </w:div>
            <w:div w:id="600332288">
              <w:marLeft w:val="0"/>
              <w:marRight w:val="0"/>
              <w:marTop w:val="0"/>
              <w:marBottom w:val="0"/>
              <w:divBdr>
                <w:top w:val="none" w:sz="0" w:space="0" w:color="auto"/>
                <w:left w:val="none" w:sz="0" w:space="0" w:color="auto"/>
                <w:bottom w:val="none" w:sz="0" w:space="0" w:color="auto"/>
                <w:right w:val="none" w:sz="0" w:space="0" w:color="auto"/>
              </w:divBdr>
            </w:div>
            <w:div w:id="847408952">
              <w:marLeft w:val="0"/>
              <w:marRight w:val="0"/>
              <w:marTop w:val="0"/>
              <w:marBottom w:val="0"/>
              <w:divBdr>
                <w:top w:val="none" w:sz="0" w:space="0" w:color="auto"/>
                <w:left w:val="none" w:sz="0" w:space="0" w:color="auto"/>
                <w:bottom w:val="none" w:sz="0" w:space="0" w:color="auto"/>
                <w:right w:val="none" w:sz="0" w:space="0" w:color="auto"/>
              </w:divBdr>
            </w:div>
            <w:div w:id="1592738812">
              <w:marLeft w:val="0"/>
              <w:marRight w:val="0"/>
              <w:marTop w:val="0"/>
              <w:marBottom w:val="0"/>
              <w:divBdr>
                <w:top w:val="none" w:sz="0" w:space="0" w:color="auto"/>
                <w:left w:val="none" w:sz="0" w:space="0" w:color="auto"/>
                <w:bottom w:val="none" w:sz="0" w:space="0" w:color="auto"/>
                <w:right w:val="none" w:sz="0" w:space="0" w:color="auto"/>
              </w:divBdr>
            </w:div>
            <w:div w:id="17327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6774">
      <w:bodyDiv w:val="1"/>
      <w:marLeft w:val="0"/>
      <w:marRight w:val="0"/>
      <w:marTop w:val="0"/>
      <w:marBottom w:val="0"/>
      <w:divBdr>
        <w:top w:val="none" w:sz="0" w:space="0" w:color="auto"/>
        <w:left w:val="none" w:sz="0" w:space="0" w:color="auto"/>
        <w:bottom w:val="none" w:sz="0" w:space="0" w:color="auto"/>
        <w:right w:val="none" w:sz="0" w:space="0" w:color="auto"/>
      </w:divBdr>
    </w:div>
    <w:div w:id="829515629">
      <w:bodyDiv w:val="1"/>
      <w:marLeft w:val="0"/>
      <w:marRight w:val="0"/>
      <w:marTop w:val="0"/>
      <w:marBottom w:val="0"/>
      <w:divBdr>
        <w:top w:val="none" w:sz="0" w:space="0" w:color="auto"/>
        <w:left w:val="none" w:sz="0" w:space="0" w:color="auto"/>
        <w:bottom w:val="none" w:sz="0" w:space="0" w:color="auto"/>
        <w:right w:val="none" w:sz="0" w:space="0" w:color="auto"/>
      </w:divBdr>
    </w:div>
    <w:div w:id="876817252">
      <w:bodyDiv w:val="1"/>
      <w:marLeft w:val="0"/>
      <w:marRight w:val="0"/>
      <w:marTop w:val="0"/>
      <w:marBottom w:val="0"/>
      <w:divBdr>
        <w:top w:val="none" w:sz="0" w:space="0" w:color="auto"/>
        <w:left w:val="none" w:sz="0" w:space="0" w:color="auto"/>
        <w:bottom w:val="none" w:sz="0" w:space="0" w:color="auto"/>
        <w:right w:val="none" w:sz="0" w:space="0" w:color="auto"/>
      </w:divBdr>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3791591">
      <w:bodyDiv w:val="1"/>
      <w:marLeft w:val="0"/>
      <w:marRight w:val="0"/>
      <w:marTop w:val="0"/>
      <w:marBottom w:val="0"/>
      <w:divBdr>
        <w:top w:val="none" w:sz="0" w:space="0" w:color="auto"/>
        <w:left w:val="none" w:sz="0" w:space="0" w:color="auto"/>
        <w:bottom w:val="none" w:sz="0" w:space="0" w:color="auto"/>
        <w:right w:val="none" w:sz="0" w:space="0" w:color="auto"/>
      </w:divBdr>
    </w:div>
    <w:div w:id="1123957726">
      <w:bodyDiv w:val="1"/>
      <w:marLeft w:val="0"/>
      <w:marRight w:val="0"/>
      <w:marTop w:val="0"/>
      <w:marBottom w:val="0"/>
      <w:divBdr>
        <w:top w:val="none" w:sz="0" w:space="0" w:color="auto"/>
        <w:left w:val="none" w:sz="0" w:space="0" w:color="auto"/>
        <w:bottom w:val="none" w:sz="0" w:space="0" w:color="auto"/>
        <w:right w:val="none" w:sz="0" w:space="0" w:color="auto"/>
      </w:divBdr>
    </w:div>
    <w:div w:id="1407191876">
      <w:bodyDiv w:val="1"/>
      <w:marLeft w:val="0"/>
      <w:marRight w:val="0"/>
      <w:marTop w:val="0"/>
      <w:marBottom w:val="0"/>
      <w:divBdr>
        <w:top w:val="none" w:sz="0" w:space="0" w:color="auto"/>
        <w:left w:val="none" w:sz="0" w:space="0" w:color="auto"/>
        <w:bottom w:val="none" w:sz="0" w:space="0" w:color="auto"/>
        <w:right w:val="none" w:sz="0" w:space="0" w:color="auto"/>
      </w:divBdr>
      <w:divsChild>
        <w:div w:id="1183973895">
          <w:marLeft w:val="0"/>
          <w:marRight w:val="0"/>
          <w:marTop w:val="0"/>
          <w:marBottom w:val="0"/>
          <w:divBdr>
            <w:top w:val="none" w:sz="0" w:space="0" w:color="auto"/>
            <w:left w:val="none" w:sz="0" w:space="0" w:color="auto"/>
            <w:bottom w:val="none" w:sz="0" w:space="0" w:color="auto"/>
            <w:right w:val="none" w:sz="0" w:space="0" w:color="auto"/>
          </w:divBdr>
          <w:divsChild>
            <w:div w:id="2089033185">
              <w:marLeft w:val="0"/>
              <w:marRight w:val="0"/>
              <w:marTop w:val="0"/>
              <w:marBottom w:val="0"/>
              <w:divBdr>
                <w:top w:val="none" w:sz="0" w:space="0" w:color="auto"/>
                <w:left w:val="none" w:sz="0" w:space="0" w:color="auto"/>
                <w:bottom w:val="none" w:sz="0" w:space="0" w:color="auto"/>
                <w:right w:val="none" w:sz="0" w:space="0" w:color="auto"/>
              </w:divBdr>
              <w:divsChild>
                <w:div w:id="381712883">
                  <w:marLeft w:val="0"/>
                  <w:marRight w:val="0"/>
                  <w:marTop w:val="0"/>
                  <w:marBottom w:val="0"/>
                  <w:divBdr>
                    <w:top w:val="none" w:sz="0" w:space="0" w:color="auto"/>
                    <w:left w:val="none" w:sz="0" w:space="0" w:color="auto"/>
                    <w:bottom w:val="none" w:sz="0" w:space="0" w:color="auto"/>
                    <w:right w:val="none" w:sz="0" w:space="0" w:color="auto"/>
                  </w:divBdr>
                  <w:divsChild>
                    <w:div w:id="1357847785">
                      <w:marLeft w:val="0"/>
                      <w:marRight w:val="0"/>
                      <w:marTop w:val="0"/>
                      <w:marBottom w:val="0"/>
                      <w:divBdr>
                        <w:top w:val="none" w:sz="0" w:space="0" w:color="auto"/>
                        <w:left w:val="none" w:sz="0" w:space="0" w:color="auto"/>
                        <w:bottom w:val="none" w:sz="0" w:space="0" w:color="auto"/>
                        <w:right w:val="none" w:sz="0" w:space="0" w:color="auto"/>
                      </w:divBdr>
                      <w:divsChild>
                        <w:div w:id="1442797526">
                          <w:marLeft w:val="0"/>
                          <w:marRight w:val="0"/>
                          <w:marTop w:val="0"/>
                          <w:marBottom w:val="0"/>
                          <w:divBdr>
                            <w:top w:val="none" w:sz="0" w:space="0" w:color="auto"/>
                            <w:left w:val="none" w:sz="0" w:space="0" w:color="auto"/>
                            <w:bottom w:val="none" w:sz="0" w:space="0" w:color="auto"/>
                            <w:right w:val="none" w:sz="0" w:space="0" w:color="auto"/>
                          </w:divBdr>
                          <w:divsChild>
                            <w:div w:id="10141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498300057">
      <w:bodyDiv w:val="1"/>
      <w:marLeft w:val="0"/>
      <w:marRight w:val="0"/>
      <w:marTop w:val="0"/>
      <w:marBottom w:val="0"/>
      <w:divBdr>
        <w:top w:val="none" w:sz="0" w:space="0" w:color="auto"/>
        <w:left w:val="none" w:sz="0" w:space="0" w:color="auto"/>
        <w:bottom w:val="none" w:sz="0" w:space="0" w:color="auto"/>
        <w:right w:val="none" w:sz="0" w:space="0" w:color="auto"/>
      </w:divBdr>
      <w:divsChild>
        <w:div w:id="72359577">
          <w:marLeft w:val="0"/>
          <w:marRight w:val="0"/>
          <w:marTop w:val="0"/>
          <w:marBottom w:val="0"/>
          <w:divBdr>
            <w:top w:val="none" w:sz="0" w:space="0" w:color="auto"/>
            <w:left w:val="none" w:sz="0" w:space="0" w:color="auto"/>
            <w:bottom w:val="none" w:sz="0" w:space="0" w:color="auto"/>
            <w:right w:val="none" w:sz="0" w:space="0" w:color="auto"/>
          </w:divBdr>
          <w:divsChild>
            <w:div w:id="332727273">
              <w:marLeft w:val="0"/>
              <w:marRight w:val="0"/>
              <w:marTop w:val="0"/>
              <w:marBottom w:val="0"/>
              <w:divBdr>
                <w:top w:val="none" w:sz="0" w:space="0" w:color="auto"/>
                <w:left w:val="none" w:sz="0" w:space="0" w:color="auto"/>
                <w:bottom w:val="none" w:sz="0" w:space="0" w:color="auto"/>
                <w:right w:val="none" w:sz="0" w:space="0" w:color="auto"/>
              </w:divBdr>
              <w:divsChild>
                <w:div w:id="1221594470">
                  <w:marLeft w:val="0"/>
                  <w:marRight w:val="0"/>
                  <w:marTop w:val="0"/>
                  <w:marBottom w:val="0"/>
                  <w:divBdr>
                    <w:top w:val="none" w:sz="0" w:space="0" w:color="auto"/>
                    <w:left w:val="none" w:sz="0" w:space="0" w:color="auto"/>
                    <w:bottom w:val="none" w:sz="0" w:space="0" w:color="auto"/>
                    <w:right w:val="none" w:sz="0" w:space="0" w:color="auto"/>
                  </w:divBdr>
                  <w:divsChild>
                    <w:div w:id="21426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69974">
      <w:bodyDiv w:val="1"/>
      <w:marLeft w:val="0"/>
      <w:marRight w:val="0"/>
      <w:marTop w:val="0"/>
      <w:marBottom w:val="0"/>
      <w:divBdr>
        <w:top w:val="none" w:sz="0" w:space="0" w:color="auto"/>
        <w:left w:val="none" w:sz="0" w:space="0" w:color="auto"/>
        <w:bottom w:val="none" w:sz="0" w:space="0" w:color="auto"/>
        <w:right w:val="none" w:sz="0" w:space="0" w:color="auto"/>
      </w:divBdr>
    </w:div>
    <w:div w:id="1629893656">
      <w:bodyDiv w:val="1"/>
      <w:marLeft w:val="0"/>
      <w:marRight w:val="0"/>
      <w:marTop w:val="0"/>
      <w:marBottom w:val="0"/>
      <w:divBdr>
        <w:top w:val="none" w:sz="0" w:space="0" w:color="auto"/>
        <w:left w:val="none" w:sz="0" w:space="0" w:color="auto"/>
        <w:bottom w:val="none" w:sz="0" w:space="0" w:color="auto"/>
        <w:right w:val="none" w:sz="0" w:space="0" w:color="auto"/>
      </w:divBdr>
    </w:div>
    <w:div w:id="1677879592">
      <w:bodyDiv w:val="1"/>
      <w:marLeft w:val="0"/>
      <w:marRight w:val="0"/>
      <w:marTop w:val="0"/>
      <w:marBottom w:val="0"/>
      <w:divBdr>
        <w:top w:val="none" w:sz="0" w:space="0" w:color="auto"/>
        <w:left w:val="none" w:sz="0" w:space="0" w:color="auto"/>
        <w:bottom w:val="none" w:sz="0" w:space="0" w:color="auto"/>
        <w:right w:val="none" w:sz="0" w:space="0" w:color="auto"/>
      </w:divBdr>
    </w:div>
    <w:div w:id="1678188492">
      <w:bodyDiv w:val="1"/>
      <w:marLeft w:val="0"/>
      <w:marRight w:val="0"/>
      <w:marTop w:val="0"/>
      <w:marBottom w:val="0"/>
      <w:divBdr>
        <w:top w:val="none" w:sz="0" w:space="0" w:color="auto"/>
        <w:left w:val="none" w:sz="0" w:space="0" w:color="auto"/>
        <w:bottom w:val="none" w:sz="0" w:space="0" w:color="auto"/>
        <w:right w:val="none" w:sz="0" w:space="0" w:color="auto"/>
      </w:divBdr>
    </w:div>
    <w:div w:id="1702706914">
      <w:bodyDiv w:val="1"/>
      <w:marLeft w:val="0"/>
      <w:marRight w:val="0"/>
      <w:marTop w:val="0"/>
      <w:marBottom w:val="0"/>
      <w:divBdr>
        <w:top w:val="none" w:sz="0" w:space="0" w:color="auto"/>
        <w:left w:val="none" w:sz="0" w:space="0" w:color="auto"/>
        <w:bottom w:val="none" w:sz="0" w:space="0" w:color="auto"/>
        <w:right w:val="none" w:sz="0" w:space="0" w:color="auto"/>
      </w:divBdr>
    </w:div>
    <w:div w:id="1748184789">
      <w:bodyDiv w:val="1"/>
      <w:marLeft w:val="0"/>
      <w:marRight w:val="0"/>
      <w:marTop w:val="0"/>
      <w:marBottom w:val="0"/>
      <w:divBdr>
        <w:top w:val="none" w:sz="0" w:space="0" w:color="auto"/>
        <w:left w:val="none" w:sz="0" w:space="0" w:color="auto"/>
        <w:bottom w:val="none" w:sz="0" w:space="0" w:color="auto"/>
        <w:right w:val="none" w:sz="0" w:space="0" w:color="auto"/>
      </w:divBdr>
      <w:divsChild>
        <w:div w:id="530653349">
          <w:marLeft w:val="0"/>
          <w:marRight w:val="0"/>
          <w:marTop w:val="0"/>
          <w:marBottom w:val="0"/>
          <w:divBdr>
            <w:top w:val="none" w:sz="0" w:space="0" w:color="auto"/>
            <w:left w:val="none" w:sz="0" w:space="0" w:color="auto"/>
            <w:bottom w:val="none" w:sz="0" w:space="0" w:color="auto"/>
            <w:right w:val="none" w:sz="0" w:space="0" w:color="auto"/>
          </w:divBdr>
          <w:divsChild>
            <w:div w:id="1973779502">
              <w:marLeft w:val="0"/>
              <w:marRight w:val="0"/>
              <w:marTop w:val="0"/>
              <w:marBottom w:val="0"/>
              <w:divBdr>
                <w:top w:val="none" w:sz="0" w:space="0" w:color="auto"/>
                <w:left w:val="none" w:sz="0" w:space="0" w:color="auto"/>
                <w:bottom w:val="none" w:sz="0" w:space="0" w:color="auto"/>
                <w:right w:val="none" w:sz="0" w:space="0" w:color="auto"/>
              </w:divBdr>
              <w:divsChild>
                <w:div w:id="1060128002">
                  <w:marLeft w:val="0"/>
                  <w:marRight w:val="0"/>
                  <w:marTop w:val="0"/>
                  <w:marBottom w:val="0"/>
                  <w:divBdr>
                    <w:top w:val="none" w:sz="0" w:space="0" w:color="auto"/>
                    <w:left w:val="none" w:sz="0" w:space="0" w:color="auto"/>
                    <w:bottom w:val="none" w:sz="0" w:space="0" w:color="auto"/>
                    <w:right w:val="none" w:sz="0" w:space="0" w:color="auto"/>
                  </w:divBdr>
                  <w:divsChild>
                    <w:div w:id="1708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0501">
      <w:bodyDiv w:val="1"/>
      <w:marLeft w:val="0"/>
      <w:marRight w:val="0"/>
      <w:marTop w:val="0"/>
      <w:marBottom w:val="0"/>
      <w:divBdr>
        <w:top w:val="none" w:sz="0" w:space="0" w:color="auto"/>
        <w:left w:val="none" w:sz="0" w:space="0" w:color="auto"/>
        <w:bottom w:val="none" w:sz="0" w:space="0" w:color="auto"/>
        <w:right w:val="none" w:sz="0" w:space="0" w:color="auto"/>
      </w:divBdr>
      <w:divsChild>
        <w:div w:id="378943341">
          <w:marLeft w:val="0"/>
          <w:marRight w:val="0"/>
          <w:marTop w:val="0"/>
          <w:marBottom w:val="0"/>
          <w:divBdr>
            <w:top w:val="none" w:sz="0" w:space="0" w:color="auto"/>
            <w:left w:val="none" w:sz="0" w:space="0" w:color="auto"/>
            <w:bottom w:val="none" w:sz="0" w:space="0" w:color="auto"/>
            <w:right w:val="none" w:sz="0" w:space="0" w:color="auto"/>
          </w:divBdr>
          <w:divsChild>
            <w:div w:id="1172572268">
              <w:marLeft w:val="0"/>
              <w:marRight w:val="0"/>
              <w:marTop w:val="0"/>
              <w:marBottom w:val="0"/>
              <w:divBdr>
                <w:top w:val="none" w:sz="0" w:space="0" w:color="auto"/>
                <w:left w:val="none" w:sz="0" w:space="0" w:color="auto"/>
                <w:bottom w:val="none" w:sz="0" w:space="0" w:color="auto"/>
                <w:right w:val="none" w:sz="0" w:space="0" w:color="auto"/>
              </w:divBdr>
              <w:divsChild>
                <w:div w:id="1494106128">
                  <w:marLeft w:val="0"/>
                  <w:marRight w:val="0"/>
                  <w:marTop w:val="0"/>
                  <w:marBottom w:val="0"/>
                  <w:divBdr>
                    <w:top w:val="none" w:sz="0" w:space="0" w:color="auto"/>
                    <w:left w:val="none" w:sz="0" w:space="0" w:color="auto"/>
                    <w:bottom w:val="none" w:sz="0" w:space="0" w:color="auto"/>
                    <w:right w:val="none" w:sz="0" w:space="0" w:color="auto"/>
                  </w:divBdr>
                  <w:divsChild>
                    <w:div w:id="753625348">
                      <w:marLeft w:val="0"/>
                      <w:marRight w:val="0"/>
                      <w:marTop w:val="0"/>
                      <w:marBottom w:val="0"/>
                      <w:divBdr>
                        <w:top w:val="none" w:sz="0" w:space="0" w:color="auto"/>
                        <w:left w:val="none" w:sz="0" w:space="0" w:color="auto"/>
                        <w:bottom w:val="none" w:sz="0" w:space="0" w:color="auto"/>
                        <w:right w:val="none" w:sz="0" w:space="0" w:color="auto"/>
                      </w:divBdr>
                      <w:divsChild>
                        <w:div w:id="1982537735">
                          <w:marLeft w:val="0"/>
                          <w:marRight w:val="0"/>
                          <w:marTop w:val="0"/>
                          <w:marBottom w:val="0"/>
                          <w:divBdr>
                            <w:top w:val="none" w:sz="0" w:space="0" w:color="auto"/>
                            <w:left w:val="none" w:sz="0" w:space="0" w:color="auto"/>
                            <w:bottom w:val="none" w:sz="0" w:space="0" w:color="auto"/>
                            <w:right w:val="none" w:sz="0" w:space="0" w:color="auto"/>
                          </w:divBdr>
                          <w:divsChild>
                            <w:div w:id="6875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28619">
      <w:bodyDiv w:val="1"/>
      <w:marLeft w:val="0"/>
      <w:marRight w:val="0"/>
      <w:marTop w:val="0"/>
      <w:marBottom w:val="0"/>
      <w:divBdr>
        <w:top w:val="none" w:sz="0" w:space="0" w:color="auto"/>
        <w:left w:val="none" w:sz="0" w:space="0" w:color="auto"/>
        <w:bottom w:val="none" w:sz="0" w:space="0" w:color="auto"/>
        <w:right w:val="none" w:sz="0" w:space="0" w:color="auto"/>
      </w:divBdr>
    </w:div>
    <w:div w:id="2063558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sweek.com/sea-lies-200118" TargetMode="External"/><Relationship Id="rId13" Type="http://schemas.openxmlformats.org/officeDocument/2006/relationships/hyperlink" Target="http://www.defenselink.mil/speeches/1995/s19950418-perry.html" TargetMode="External"/><Relationship Id="rId18" Type="http://schemas.openxmlformats.org/officeDocument/2006/relationships/hyperlink" Target="https://archive.org/details/prizeepicquestfo0000yerg_g3v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ergipark.org.tr/tr/pub/yead/issue/21820/234550#article_cite" TargetMode="External"/><Relationship Id="rId17" Type="http://schemas.openxmlformats.org/officeDocument/2006/relationships/hyperlink" Target="https://www.nato-pa.int/archivedpubs/comrep/1998" TargetMode="External"/><Relationship Id="rId2" Type="http://schemas.openxmlformats.org/officeDocument/2006/relationships/numbering" Target="numbering.xml"/><Relationship Id="rId16" Type="http://schemas.openxmlformats.org/officeDocument/2006/relationships/hyperlink" Target="http://www.whitehouse.gov/nsc/nss/2002/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keesings-record-of-world-events_1991_37_index" TargetMode="External"/><Relationship Id="rId5" Type="http://schemas.openxmlformats.org/officeDocument/2006/relationships/webSettings" Target="webSettings.xml"/><Relationship Id="rId15" Type="http://schemas.openxmlformats.org/officeDocument/2006/relationships/hyperlink" Target="https://doi.org/10.21236/ADA476944" TargetMode="External"/><Relationship Id="rId23" Type="http://schemas.openxmlformats.org/officeDocument/2006/relationships/theme" Target="theme/theme1.xml"/><Relationship Id="rId10" Type="http://schemas.openxmlformats.org/officeDocument/2006/relationships/hyperlink" Target="https://doi.org/10.4324/97813155963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gazete.cumhuriyet.com.tr/en/catalog/192/1991/1/13/2" TargetMode="External"/><Relationship Id="rId14" Type="http://schemas.openxmlformats.org/officeDocument/2006/relationships/hyperlink" Target="http://armedservices.senate.gov/e_witnesslist.cfm?id=44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4.0/" TargetMode="External"/><Relationship Id="rId1" Type="http://schemas.openxmlformats.org/officeDocument/2006/relationships/hyperlink" Target="https://doi.org/10.33422/shconf.v2i1.1040"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Kur69</b:Tag>
    <b:SourceType>Book</b:SourceType>
    <b:Guid>{50AC8F33-F22A-4272-B2BC-BAB6B75FBEEE}</b:Guid>
    <b:Title>Slaughterhouse-Five</b:Title>
    <b:Year>1969</b:Year>
    <b:Author>
      <b:Author>
        <b:NameList>
          <b:Person>
            <b:Last>Vonnegut</b:Last>
            <b:First>Kurt</b:First>
          </b:Person>
        </b:NameList>
      </b:Author>
    </b:Author>
    <b:City>United States</b:City>
    <b:Publisher>Delacorte</b:Publisher>
    <b:RefOrder>1</b:RefOrder>
  </b:Source>
  <b:Source>
    <b:Tag>Nic18</b:Tag>
    <b:SourceType>Book</b:SourceType>
    <b:Guid>{FC77CEC3-34A9-4474-B164-D8D2D8F44378}</b:Guid>
    <b:Author>
      <b:Author>
        <b:NameList>
          <b:Person>
            <b:Last>Cooke</b:Last>
            <b:First>Nicole</b:First>
            <b:Middle>A.</b:Middle>
          </b:Person>
        </b:NameList>
      </b:Author>
    </b:Author>
    <b:Title>Fake News and Alternative Facts: Information Literacy in a Post-Truth Era</b:Title>
    <b:Year>2018</b:Year>
    <b:Publisher> Chicago : ALA Editions</b:Publisher>
    <b:RefOrder>2</b:RefOrder>
  </b:Source>
</b:Sources>
</file>

<file path=customXml/itemProps1.xml><?xml version="1.0" encoding="utf-8"?>
<ds:datastoreItem xmlns:ds="http://schemas.openxmlformats.org/officeDocument/2006/customXml" ds:itemID="{9E3F6802-0A9E-4966-9F37-16333FBD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12</Pages>
  <Words>6872</Words>
  <Characters>39652</Characters>
  <Application>Microsoft Office Word</Application>
  <DocSecurity>0</DocSecurity>
  <Lines>543</Lines>
  <Paragraphs>82</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A.I. and the changing landscape of writing</vt:lpstr>
      <vt:lpstr>Paper Title</vt:lpstr>
      <vt:lpstr>Paper Title</vt:lpstr>
    </vt:vector>
  </TitlesOfParts>
  <Company>Fakulta managementu JU</Company>
  <LinksUpToDate>false</LinksUpToDate>
  <CharactersWithSpaces>46442</CharactersWithSpaces>
  <SharedDoc>false</SharedDoc>
  <HLinks>
    <vt:vector size="66" baseType="variant">
      <vt:variant>
        <vt:i4>7798826</vt:i4>
      </vt:variant>
      <vt:variant>
        <vt:i4>30</vt:i4>
      </vt:variant>
      <vt:variant>
        <vt:i4>0</vt:i4>
      </vt:variant>
      <vt:variant>
        <vt:i4>5</vt:i4>
      </vt:variant>
      <vt:variant>
        <vt:lpwstr>https://journals.ue.poznan.pl/ebr/article/view/743/568</vt:lpwstr>
      </vt:variant>
      <vt:variant>
        <vt:lpwstr/>
      </vt:variant>
      <vt:variant>
        <vt:i4>4587529</vt:i4>
      </vt:variant>
      <vt:variant>
        <vt:i4>27</vt:i4>
      </vt:variant>
      <vt:variant>
        <vt:i4>0</vt:i4>
      </vt:variant>
      <vt:variant>
        <vt:i4>5</vt:i4>
      </vt:variant>
      <vt:variant>
        <vt:lpwstr>https://doi.org/10.5539/ies.v15n1p76</vt:lpwstr>
      </vt:variant>
      <vt:variant>
        <vt:lpwstr/>
      </vt:variant>
      <vt:variant>
        <vt:i4>6619196</vt:i4>
      </vt:variant>
      <vt:variant>
        <vt:i4>24</vt:i4>
      </vt:variant>
      <vt:variant>
        <vt:i4>0</vt:i4>
      </vt:variant>
      <vt:variant>
        <vt:i4>5</vt:i4>
      </vt:variant>
      <vt:variant>
        <vt:lpwstr>https://doi.org/10.1007/s43681-023-00362-w</vt:lpwstr>
      </vt:variant>
      <vt:variant>
        <vt:lpwstr/>
      </vt:variant>
      <vt:variant>
        <vt:i4>4522065</vt:i4>
      </vt:variant>
      <vt:variant>
        <vt:i4>21</vt:i4>
      </vt:variant>
      <vt:variant>
        <vt:i4>0</vt:i4>
      </vt:variant>
      <vt:variant>
        <vt:i4>5</vt:i4>
      </vt:variant>
      <vt:variant>
        <vt:lpwstr>https://www.hcltech.com/blogs/artificial-intelligence-defined-simple-terms</vt:lpwstr>
      </vt:variant>
      <vt:variant>
        <vt:lpwstr>:~:text=Artificial%20intelligence%20is%20the%20science,decisions%2C%20and%20judge%20like%20humans.</vt:lpwstr>
      </vt:variant>
      <vt:variant>
        <vt:i4>2031705</vt:i4>
      </vt:variant>
      <vt:variant>
        <vt:i4>18</vt:i4>
      </vt:variant>
      <vt:variant>
        <vt:i4>0</vt:i4>
      </vt:variant>
      <vt:variant>
        <vt:i4>5</vt:i4>
      </vt:variant>
      <vt:variant>
        <vt:lpwstr>https://hbsp.harvard.edu/inspiring-minds/ai-as-feedback-generator</vt:lpwstr>
      </vt:variant>
      <vt:variant>
        <vt:lpwstr/>
      </vt:variant>
      <vt:variant>
        <vt:i4>6488098</vt:i4>
      </vt:variant>
      <vt:variant>
        <vt:i4>15</vt:i4>
      </vt:variant>
      <vt:variant>
        <vt:i4>0</vt:i4>
      </vt:variant>
      <vt:variant>
        <vt:i4>5</vt:i4>
      </vt:variant>
      <vt:variant>
        <vt:lpwstr>https://www.forbes.com/sites/bernardmarr/2023/07/24/the-difference-between-generative-ai-and-traditional-ai-an-easy-explanation-for-anyone/?sh=74b051d2508a</vt:lpwstr>
      </vt:variant>
      <vt:variant>
        <vt:lpwstr/>
      </vt:variant>
      <vt:variant>
        <vt:i4>4522042</vt:i4>
      </vt:variant>
      <vt:variant>
        <vt:i4>12</vt:i4>
      </vt:variant>
      <vt:variant>
        <vt:i4>0</vt:i4>
      </vt:variant>
      <vt:variant>
        <vt:i4>5</vt:i4>
      </vt:variant>
      <vt:variant>
        <vt:lpwstr>https://www.insidehighered.com/digital-learning/article/2020/04/22/how-professors-changed-their-teaching-springs-shift-remote</vt:lpwstr>
      </vt:variant>
      <vt:variant>
        <vt:lpwstr>:</vt:lpwstr>
      </vt:variant>
      <vt:variant>
        <vt:i4>196633</vt:i4>
      </vt:variant>
      <vt:variant>
        <vt:i4>9</vt:i4>
      </vt:variant>
      <vt:variant>
        <vt:i4>0</vt:i4>
      </vt:variant>
      <vt:variant>
        <vt:i4>5</vt:i4>
      </vt:variant>
      <vt:variant>
        <vt:lpwstr>https://www.learntechlib.org/p/217382</vt:lpwstr>
      </vt:variant>
      <vt:variant>
        <vt:lpwstr/>
      </vt:variant>
      <vt:variant>
        <vt:i4>3145842</vt:i4>
      </vt:variant>
      <vt:variant>
        <vt:i4>6</vt:i4>
      </vt:variant>
      <vt:variant>
        <vt:i4>0</vt:i4>
      </vt:variant>
      <vt:variant>
        <vt:i4>5</vt:i4>
      </vt:variant>
      <vt:variant>
        <vt:lpwstr>https://www.edweek.org/technology/pandemic-tech-tools-that-are-here-to-stay/2022/03</vt:lpwstr>
      </vt:variant>
      <vt:variant>
        <vt:lpwstr>:~:text=Zoom%20and%20Google%20Hangouts%2FMeet,use%20Microsoft%20Teams%20for%20videoconferencing.</vt:lpwstr>
      </vt:variant>
      <vt:variant>
        <vt:i4>2228277</vt:i4>
      </vt:variant>
      <vt:variant>
        <vt:i4>3</vt:i4>
      </vt:variant>
      <vt:variant>
        <vt:i4>0</vt:i4>
      </vt:variant>
      <vt:variant>
        <vt:i4>5</vt:i4>
      </vt:variant>
      <vt:variant>
        <vt:lpwstr>https://doi.org/10.1007/s40979-023-00133-4</vt:lpwstr>
      </vt:variant>
      <vt:variant>
        <vt:lpwstr/>
      </vt:variant>
      <vt:variant>
        <vt:i4>655370</vt:i4>
      </vt:variant>
      <vt:variant>
        <vt:i4>0</vt:i4>
      </vt:variant>
      <vt:variant>
        <vt:i4>0</vt:i4>
      </vt:variant>
      <vt:variant>
        <vt:i4>5</vt:i4>
      </vt:variant>
      <vt:variant>
        <vt:lpwstr>https://edintegrity.biomedcentral.com/articles/10.1007/s40979-018-0031-z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and the changing landscape of writing</dc:title>
  <dc:creator>Dr. Jennifer Fisch-Ferguson</dc:creator>
  <cp:lastModifiedBy>فهیمه خابوری</cp:lastModifiedBy>
  <cp:revision>20</cp:revision>
  <cp:lastPrinted>2001-02-09T00:11:00Z</cp:lastPrinted>
  <dcterms:created xsi:type="dcterms:W3CDTF">2024-10-24T00:09:00Z</dcterms:created>
  <dcterms:modified xsi:type="dcterms:W3CDTF">2025-04-20T13:27:00Z</dcterms:modified>
</cp:coreProperties>
</file>