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21A99A" w14:textId="2F5B3716" w:rsidR="007E77E3" w:rsidRPr="004B117B" w:rsidRDefault="00282D23" w:rsidP="00246C93">
      <w:pPr>
        <w:spacing w:before="0"/>
        <w:jc w:val="center"/>
        <w:rPr>
          <w:b/>
          <w:sz w:val="40"/>
          <w:szCs w:val="40"/>
          <w:lang w:val="en-GB"/>
        </w:rPr>
      </w:pPr>
      <w:r w:rsidRPr="00282D23">
        <w:rPr>
          <w:b/>
          <w:sz w:val="40"/>
          <w:szCs w:val="40"/>
          <w:lang w:val="en-GB"/>
        </w:rPr>
        <w:t xml:space="preserve">Myth as Epistemic Infrastructure: </w:t>
      </w:r>
      <w:r>
        <w:rPr>
          <w:b/>
          <w:sz w:val="40"/>
          <w:szCs w:val="40"/>
          <w:lang w:val="en-GB"/>
        </w:rPr>
        <w:br/>
      </w:r>
      <w:r w:rsidRPr="00282D23">
        <w:rPr>
          <w:b/>
          <w:sz w:val="40"/>
          <w:szCs w:val="40"/>
          <w:lang w:val="en-GB"/>
        </w:rPr>
        <w:t>What Ancient Greek Narratives Teach Us about Believing and Doubting Information</w:t>
      </w:r>
    </w:p>
    <w:p w14:paraId="20CC3C4E" w14:textId="77777777" w:rsidR="00E12F95" w:rsidRPr="004B117B" w:rsidRDefault="00E12F95" w:rsidP="00246C93">
      <w:pPr>
        <w:spacing w:before="0"/>
        <w:jc w:val="center"/>
        <w:rPr>
          <w:b/>
          <w:sz w:val="40"/>
          <w:szCs w:val="40"/>
          <w:lang w:val="en-GB"/>
        </w:rPr>
      </w:pPr>
    </w:p>
    <w:p w14:paraId="12370684" w14:textId="27F2F985" w:rsidR="007E77E3" w:rsidRPr="004B117B" w:rsidRDefault="00282D23" w:rsidP="00282D23">
      <w:pPr>
        <w:widowControl w:val="0"/>
        <w:adjustRightInd w:val="0"/>
        <w:spacing w:before="0"/>
        <w:ind w:firstLine="220"/>
        <w:jc w:val="center"/>
        <w:rPr>
          <w:b/>
          <w:bCs/>
          <w:sz w:val="22"/>
          <w:szCs w:val="22"/>
          <w:lang w:val="en-GB" w:eastAsia="zh-CN"/>
        </w:rPr>
      </w:pPr>
      <w:r>
        <w:rPr>
          <w:b/>
          <w:bCs/>
          <w:sz w:val="22"/>
          <w:szCs w:val="22"/>
          <w:lang w:eastAsia="zh-CN"/>
        </w:rPr>
        <w:t>F</w:t>
      </w:r>
      <w:r w:rsidRPr="00282D23">
        <w:rPr>
          <w:b/>
          <w:bCs/>
          <w:sz w:val="22"/>
          <w:szCs w:val="22"/>
          <w:lang w:eastAsia="zh-CN"/>
        </w:rPr>
        <w:t>arzana Naz Swarna Prova</w:t>
      </w:r>
    </w:p>
    <w:p w14:paraId="3348271F" w14:textId="7B9097D3" w:rsidR="004B117B" w:rsidRPr="00835C3E" w:rsidRDefault="00282D23" w:rsidP="00246C93">
      <w:pPr>
        <w:pStyle w:val="TTPAddress"/>
        <w:ind w:firstLine="0"/>
        <w:rPr>
          <w:rFonts w:ascii="Times New Roman" w:hAnsi="Times New Roman"/>
          <w:sz w:val="20"/>
          <w:szCs w:val="18"/>
          <w:lang w:eastAsia="zh-CN"/>
        </w:rPr>
      </w:pPr>
      <w:r w:rsidRPr="00282D23">
        <w:rPr>
          <w:rFonts w:ascii="Times New Roman" w:hAnsi="Times New Roman"/>
          <w:sz w:val="20"/>
          <w:szCs w:val="18"/>
          <w:lang w:val="en-GB" w:eastAsia="zh-CN"/>
        </w:rPr>
        <w:t>Jatiya Kabi Kazi Nazrul Islam University, Bangladesh</w:t>
      </w:r>
    </w:p>
    <w:p w14:paraId="73AA78D2" w14:textId="668C5602" w:rsidR="001524F1" w:rsidRPr="004B117B" w:rsidRDefault="007863B5" w:rsidP="00246C93">
      <w:pPr>
        <w:pStyle w:val="TTPKeywords"/>
        <w:ind w:firstLine="0"/>
        <w:rPr>
          <w:rFonts w:ascii="Times New Roman" w:hAnsi="Times New Roman"/>
          <w:b/>
          <w:sz w:val="24"/>
          <w:szCs w:val="24"/>
          <w:lang w:val="en-GB"/>
        </w:rPr>
      </w:pPr>
      <w:r w:rsidRPr="004B117B">
        <w:rPr>
          <w:rFonts w:ascii="Times New Roman" w:hAnsi="Times New Roman"/>
          <w:b/>
          <w:sz w:val="28"/>
          <w:szCs w:val="28"/>
          <w:lang w:val="en-GB"/>
        </w:rPr>
        <w:t>Abstract</w:t>
      </w:r>
    </w:p>
    <w:p w14:paraId="06BBCD2D" w14:textId="1751229A" w:rsidR="003F2838" w:rsidRPr="004B117B" w:rsidRDefault="00282D23" w:rsidP="00246C93">
      <w:pPr>
        <w:spacing w:before="240"/>
        <w:ind w:firstLine="0"/>
        <w:rPr>
          <w:rFonts w:eastAsia="DengXian"/>
          <w:kern w:val="2"/>
          <w:szCs w:val="24"/>
          <w:lang w:val="en-US" w:eastAsia="zh-CN"/>
        </w:rPr>
      </w:pPr>
      <w:bookmarkStart w:id="0" w:name="_Hlk209701743"/>
      <w:r w:rsidRPr="00282D23">
        <w:rPr>
          <w:rFonts w:eastAsia="DengXian"/>
          <w:kern w:val="2"/>
          <w:szCs w:val="24"/>
          <w:lang w:val="en-US" w:eastAsia="zh-CN"/>
        </w:rPr>
        <w:t xml:space="preserve">In the digital era, the overflow of information, misinformation, the echo chamber and the post-truth culture are profoundly influencing the knowledge building process of individuals and societies. In this context, the study argues that ancient Greek myth is not just a cultural or religious statement; Rather, it can be considered an epistemic infrastructure that organizes the principles of belief, suspicion, testimony, authority, and </w:t>
      </w:r>
      <w:proofErr w:type="gramStart"/>
      <w:r w:rsidRPr="00282D23">
        <w:rPr>
          <w:rFonts w:eastAsia="DengXian"/>
          <w:kern w:val="2"/>
          <w:szCs w:val="24"/>
          <w:lang w:val="en-US" w:eastAsia="zh-CN"/>
        </w:rPr>
        <w:t>fact-checking</w:t>
      </w:r>
      <w:proofErr w:type="gramEnd"/>
      <w:r w:rsidRPr="00282D23">
        <w:rPr>
          <w:rFonts w:eastAsia="DengXian"/>
          <w:kern w:val="2"/>
          <w:szCs w:val="24"/>
          <w:lang w:val="en-US" w:eastAsia="zh-CN"/>
        </w:rPr>
        <w:t>. The purpose of this study is to investigate how the structures of knowledge acquisition, acceptance or rejection of information, and collective belief formation in ancient Greek myth can serve as an effective explanatory model for analyzing contemporary data crises. The study conducts a qualitative literature analysis using intensive reading, comparative text-analysis, and interpretive criticism methods. Selected Greek tragedies and myths, including Oedipus Rex, Antigone, Agamemnon, The Bacchae, are analyzed in the light of the theoretical framework of narrative epistemology, social epistemology, and misinformation studies. The analysis shows that processes such as the credibility of testimony, cognitive bias, power influence, reproduction of collective statements, and ignoring warning signals are structured in ancient myth in a way that bears a profound resemblance to the workings of modern misinformation, epistemic injustice, and the functioning of the Echo Chamber. The study concludes that ancient Greek myth is not just a literary tradition of the past; Rather, it provides an effective interdisciplinary analytical framework for rethinking contemporary information-culture, critical thinking, and epistemic resilience.</w:t>
      </w:r>
    </w:p>
    <w:bookmarkEnd w:id="0"/>
    <w:p w14:paraId="466DD032" w14:textId="6103D1D6" w:rsidR="007863B5" w:rsidRPr="004B117B" w:rsidRDefault="007863B5" w:rsidP="00246C93">
      <w:pPr>
        <w:pStyle w:val="TTPKeywords"/>
        <w:spacing w:before="240"/>
        <w:ind w:firstLine="0"/>
        <w:rPr>
          <w:rFonts w:ascii="Times New Roman" w:hAnsi="Times New Roman"/>
          <w:b/>
          <w:i/>
          <w:sz w:val="24"/>
          <w:szCs w:val="24"/>
          <w:lang w:val="en-GB"/>
        </w:rPr>
      </w:pPr>
      <w:r w:rsidRPr="004B117B">
        <w:rPr>
          <w:rFonts w:ascii="Times New Roman" w:hAnsi="Times New Roman"/>
          <w:b/>
          <w:sz w:val="24"/>
          <w:szCs w:val="24"/>
          <w:lang w:val="en-GB"/>
        </w:rPr>
        <w:t>Keywords:</w:t>
      </w:r>
      <w:bookmarkStart w:id="1" w:name="OLE_LINK9"/>
      <w:r w:rsidR="00025D46" w:rsidRPr="004B117B">
        <w:rPr>
          <w:rFonts w:ascii="Times New Roman" w:hAnsi="Times New Roman" w:hint="eastAsia"/>
          <w:sz w:val="24"/>
          <w:szCs w:val="24"/>
        </w:rPr>
        <w:t xml:space="preserve"> </w:t>
      </w:r>
      <w:r w:rsidR="00282D23" w:rsidRPr="00282D23">
        <w:rPr>
          <w:rFonts w:ascii="Times New Roman" w:hAnsi="Times New Roman"/>
          <w:sz w:val="24"/>
          <w:szCs w:val="24"/>
        </w:rPr>
        <w:t>Authority; Epistemic Injustice; Greek Myth; Misinformation; Narrative Epistemology</w:t>
      </w:r>
    </w:p>
    <w:bookmarkEnd w:id="1"/>
    <w:p w14:paraId="7DD8DC76" w14:textId="0A786059" w:rsidR="007E164C" w:rsidRPr="004B117B" w:rsidRDefault="00187458" w:rsidP="00F04866">
      <w:pPr>
        <w:pStyle w:val="Heading1"/>
      </w:pPr>
      <w:r w:rsidRPr="004B117B">
        <w:t>Introduction</w:t>
      </w:r>
      <w:r w:rsidR="007863B5" w:rsidRPr="004B117B">
        <w:t xml:space="preserve"> </w:t>
      </w:r>
    </w:p>
    <w:p w14:paraId="30DB8AB5" w14:textId="77777777" w:rsidR="00282D23" w:rsidRPr="00E86F03" w:rsidRDefault="00282D23" w:rsidP="00282D23">
      <w:pPr>
        <w:pStyle w:val="BodyText"/>
        <w:spacing w:after="120"/>
        <w:ind w:firstLine="0"/>
        <w:rPr>
          <w:rFonts w:eastAsia="SimSun"/>
          <w:color w:val="000000" w:themeColor="text1"/>
          <w:lang w:val="en-GB" w:eastAsia="en-US"/>
        </w:rPr>
      </w:pPr>
      <w:r w:rsidRPr="00E86F03">
        <w:rPr>
          <w:rFonts w:eastAsia="Times New Roman"/>
          <w:color w:val="000000" w:themeColor="text1"/>
          <w:lang w:val="en-GB" w:eastAsia="en-US"/>
        </w:rPr>
        <w:t>In the current information environment, people are faced with a huge amount of information, claims, and opinions every day. Many of these claims are contradictory. Consequently, a crucial question arises: whom should one trust? Which claims should be accepted, and which should be viewed with scepticism?</w:t>
      </w:r>
    </w:p>
    <w:p w14:paraId="71650A0F" w14:textId="77777777" w:rsidR="00282D23" w:rsidRPr="00E86F03" w:rsidRDefault="00282D23" w:rsidP="00282D23">
      <w:pPr>
        <w:pStyle w:val="BodyText"/>
        <w:spacing w:after="120"/>
        <w:ind w:firstLine="0"/>
        <w:rPr>
          <w:rFonts w:eastAsia="SimSun"/>
          <w:color w:val="000000" w:themeColor="text1"/>
          <w:lang w:val="en-GB" w:eastAsia="en-US"/>
        </w:rPr>
      </w:pPr>
      <w:r w:rsidRPr="00E86F03">
        <w:rPr>
          <w:rFonts w:eastAsia="Times New Roman"/>
          <w:color w:val="000000" w:themeColor="text1"/>
          <w:lang w:val="en-GB" w:eastAsia="en-US"/>
        </w:rPr>
        <w:lastRenderedPageBreak/>
        <w:t xml:space="preserve">This decision does not depend solely on the presence of information. Even if a claim is true, it may not be accepted as credible. Conversely, even when evidence is present, it can be misinterpreted. Authority, too, does not always guarantee truth. Preconceived beliefs can sometimes lead to the rejection of even contradictory evidence. Therefore, it is not enough to see the information crisis as a problem of mere production or dissemination of false information. It also involves the relationship of credibility, authority, evidence, interpretation, and belief </w:t>
      </w:r>
      <w:r w:rsidRPr="00E86F03">
        <w:rPr>
          <w:rFonts w:eastAsia="Times New Roman"/>
          <w:color w:val="000000" w:themeColor="text1"/>
        </w:rPr>
        <w:t>(</w:t>
      </w:r>
      <w:proofErr w:type="spellStart"/>
      <w:r w:rsidRPr="00E86F03">
        <w:rPr>
          <w:rFonts w:eastAsia="Times New Roman"/>
          <w:color w:val="000000" w:themeColor="text1"/>
        </w:rPr>
        <w:t>Garusi</w:t>
      </w:r>
      <w:proofErr w:type="spellEnd"/>
      <w:r w:rsidRPr="00E86F03">
        <w:rPr>
          <w:rFonts w:eastAsia="Times New Roman"/>
          <w:color w:val="000000" w:themeColor="text1"/>
        </w:rPr>
        <w:t xml:space="preserve"> &amp; </w:t>
      </w:r>
      <w:proofErr w:type="spellStart"/>
      <w:r w:rsidRPr="00E86F03">
        <w:rPr>
          <w:rFonts w:eastAsia="Times New Roman"/>
          <w:color w:val="000000" w:themeColor="text1"/>
        </w:rPr>
        <w:t>Splendore</w:t>
      </w:r>
      <w:proofErr w:type="spellEnd"/>
      <w:r w:rsidRPr="00E86F03">
        <w:rPr>
          <w:rFonts w:eastAsia="Times New Roman"/>
          <w:color w:val="000000" w:themeColor="text1"/>
        </w:rPr>
        <w:t>, 2023).</w:t>
      </w:r>
    </w:p>
    <w:p w14:paraId="4C3FC627" w14:textId="77777777" w:rsidR="00282D23" w:rsidRPr="00E86F03" w:rsidRDefault="00282D23" w:rsidP="00282D23">
      <w:pPr>
        <w:pStyle w:val="Heading1"/>
        <w:rPr>
          <w:rFonts w:eastAsia="SimSun"/>
          <w:color w:val="000000" w:themeColor="text1"/>
          <w:lang w:val="en-GB" w:eastAsia="en-US"/>
        </w:rPr>
      </w:pPr>
      <w:r>
        <w:rPr>
          <w:rFonts w:eastAsia="Times New Roman"/>
          <w:color w:val="000000"/>
        </w:rPr>
        <w:t>Research Objective</w:t>
      </w:r>
    </w:p>
    <w:p w14:paraId="45A1A4CD" w14:textId="77777777" w:rsidR="00282D23" w:rsidRPr="00E86F03" w:rsidRDefault="00282D23" w:rsidP="00282D23">
      <w:pPr>
        <w:pStyle w:val="BodyText"/>
        <w:spacing w:after="120"/>
        <w:ind w:firstLine="0"/>
        <w:rPr>
          <w:rFonts w:eastAsia="SimSun"/>
          <w:color w:val="000000" w:themeColor="text1"/>
          <w:lang w:val="en-GB" w:eastAsia="en-US"/>
        </w:rPr>
      </w:pPr>
      <w:r w:rsidRPr="00E86F03">
        <w:rPr>
          <w:rFonts w:eastAsia="Times New Roman"/>
          <w:color w:val="000000" w:themeColor="text1"/>
          <w:lang w:val="en-GB" w:eastAsia="en-US"/>
        </w:rPr>
        <w:t xml:space="preserve">This research </w:t>
      </w:r>
      <w:proofErr w:type="spellStart"/>
      <w:r w:rsidRPr="00E86F03">
        <w:rPr>
          <w:rFonts w:eastAsia="Times New Roman"/>
          <w:color w:val="000000" w:themeColor="text1"/>
          <w:lang w:val="en-GB" w:eastAsia="en-US"/>
        </w:rPr>
        <w:t>centers</w:t>
      </w:r>
      <w:proofErr w:type="spellEnd"/>
      <w:r w:rsidRPr="00E86F03">
        <w:rPr>
          <w:rFonts w:eastAsia="Times New Roman"/>
          <w:color w:val="000000" w:themeColor="text1"/>
          <w:lang w:val="en-GB" w:eastAsia="en-US"/>
        </w:rPr>
        <w:t xml:space="preserve"> on this broader epistemic process. Here, the ancient Greek tragedy is not viewed or read merely as a vehicle for mythological tales or moral instruction; in the selected plays, the characters are repeatedly confronted with situations where the question of knowing, believing, doubting, and rejecting become significant. Even when the truth is spoken, the speaker is not believed. Even if there is evidence, its meaning is not properly understood. Again, different authority provides different interpretations of the same event. Sometimes preconceived beliefs block the way of accepting the opposite knowledge.</w:t>
      </w:r>
    </w:p>
    <w:p w14:paraId="653C361F" w14:textId="77777777" w:rsidR="00282D23" w:rsidRPr="00E86F03" w:rsidRDefault="00282D23" w:rsidP="00282D23">
      <w:pPr>
        <w:pStyle w:val="BodyText"/>
        <w:spacing w:after="120"/>
        <w:ind w:firstLine="0"/>
        <w:rPr>
          <w:rFonts w:eastAsia="SimSun"/>
          <w:color w:val="000000" w:themeColor="text1"/>
          <w:lang w:val="en-GB" w:eastAsia="en-US"/>
        </w:rPr>
      </w:pPr>
      <w:r w:rsidRPr="00E86F03">
        <w:rPr>
          <w:rFonts w:eastAsia="Times New Roman"/>
          <w:color w:val="000000" w:themeColor="text1"/>
          <w:lang w:val="en-GB" w:eastAsia="en-US"/>
        </w:rPr>
        <w:t xml:space="preserve">Here, the term “information” is not being used to denote an ancient concept equivalent to modern digital information systems; rather, it serves as an analytical category. It encompasses prophecy, testimony, reports, signs, evidence, and various types of knowledge claims. Similarly, the term “epistemic infrastructure” does not imply a direct comparison between ancient Greek culture and modern technological infrastructure; instead, it functions as an analytical framework used to examine how narrative authority, testimony, evidence, interpretation, belief, and their consequences are organized. </w:t>
      </w:r>
    </w:p>
    <w:p w14:paraId="51F52172" w14:textId="77777777" w:rsidR="00282D23" w:rsidRPr="00E86F03" w:rsidRDefault="00282D23" w:rsidP="00282D23">
      <w:pPr>
        <w:pStyle w:val="BodyText"/>
        <w:spacing w:after="120"/>
        <w:ind w:firstLine="0"/>
        <w:rPr>
          <w:rFonts w:eastAsia="SimSun"/>
          <w:color w:val="000000" w:themeColor="text1"/>
          <w:lang w:val="en-GB" w:eastAsia="en-US"/>
        </w:rPr>
      </w:pPr>
      <w:r w:rsidRPr="00E86F03">
        <w:rPr>
          <w:rFonts w:eastAsia="Times New Roman"/>
          <w:color w:val="000000" w:themeColor="text1"/>
          <w:lang w:val="en-GB" w:eastAsia="en-US"/>
        </w:rPr>
        <w:t xml:space="preserve">The scope of this research is also specific. “Ancient Greek narratives” are not treated here as a monolithic or homogeneous category. The study focuses on four specific Greek tragedies: Aeschylus’s </w:t>
      </w:r>
      <w:r w:rsidRPr="00E86F03">
        <w:rPr>
          <w:rFonts w:eastAsia="Times New Roman"/>
          <w:i/>
          <w:color w:val="000000" w:themeColor="text1"/>
          <w:lang w:val="en-GB" w:eastAsia="en-US"/>
        </w:rPr>
        <w:t>Agamemnon</w:t>
      </w:r>
      <w:r w:rsidRPr="00E86F03">
        <w:rPr>
          <w:rFonts w:eastAsia="Times New Roman"/>
          <w:color w:val="000000" w:themeColor="text1"/>
          <w:lang w:val="en-GB" w:eastAsia="en-US"/>
        </w:rPr>
        <w:t xml:space="preserve">, </w:t>
      </w:r>
      <w:proofErr w:type="spellStart"/>
      <w:r w:rsidRPr="00E86F03">
        <w:rPr>
          <w:rFonts w:eastAsia="Times New Roman"/>
          <w:color w:val="000000" w:themeColor="text1"/>
          <w:lang w:val="en-GB" w:eastAsia="en-US"/>
        </w:rPr>
        <w:t>Sophocles’s</w:t>
      </w:r>
      <w:proofErr w:type="spellEnd"/>
      <w:r w:rsidRPr="00E86F03">
        <w:rPr>
          <w:rFonts w:eastAsia="Times New Roman"/>
          <w:color w:val="000000" w:themeColor="text1"/>
          <w:lang w:val="en-GB" w:eastAsia="en-US"/>
        </w:rPr>
        <w:t xml:space="preserve"> </w:t>
      </w:r>
      <w:r w:rsidRPr="00E86F03">
        <w:rPr>
          <w:rFonts w:eastAsia="Times New Roman"/>
          <w:i/>
          <w:color w:val="000000" w:themeColor="text1"/>
          <w:lang w:val="en-GB" w:eastAsia="en-US"/>
        </w:rPr>
        <w:t>Oedipus Tyrannus</w:t>
      </w:r>
      <w:r w:rsidRPr="00E86F03">
        <w:rPr>
          <w:rFonts w:eastAsia="Times New Roman"/>
          <w:color w:val="000000" w:themeColor="text1"/>
          <w:lang w:val="en-GB" w:eastAsia="en-US"/>
        </w:rPr>
        <w:t xml:space="preserve"> and </w:t>
      </w:r>
      <w:r w:rsidRPr="00E86F03">
        <w:rPr>
          <w:rFonts w:eastAsia="Times New Roman"/>
          <w:i/>
          <w:color w:val="000000" w:themeColor="text1"/>
          <w:lang w:val="en-GB" w:eastAsia="en-US"/>
        </w:rPr>
        <w:t>Antigone</w:t>
      </w:r>
      <w:r w:rsidRPr="00E86F03">
        <w:rPr>
          <w:rFonts w:eastAsia="Times New Roman"/>
          <w:color w:val="000000" w:themeColor="text1"/>
          <w:lang w:val="en-GB" w:eastAsia="en-US"/>
        </w:rPr>
        <w:t xml:space="preserve">, and Euripides’s </w:t>
      </w:r>
      <w:r w:rsidRPr="00E86F03">
        <w:rPr>
          <w:rFonts w:eastAsia="Times New Roman"/>
          <w:i/>
          <w:color w:val="000000" w:themeColor="text1"/>
          <w:lang w:val="en-GB" w:eastAsia="en-US"/>
        </w:rPr>
        <w:t>The Bacchae</w:t>
      </w:r>
      <w:r w:rsidRPr="00E86F03">
        <w:rPr>
          <w:rFonts w:eastAsia="Times New Roman"/>
          <w:color w:val="000000" w:themeColor="text1"/>
          <w:lang w:val="en-GB" w:eastAsia="en-US"/>
        </w:rPr>
        <w:t xml:space="preserve">. These four plays are read and examined comparatively because each presents a distinct configuration of epistemic conflict. </w:t>
      </w:r>
      <w:r w:rsidRPr="00E86F03">
        <w:rPr>
          <w:rFonts w:eastAsia="Times New Roman"/>
          <w:i/>
          <w:color w:val="000000" w:themeColor="text1"/>
          <w:lang w:val="en-GB" w:eastAsia="en-US"/>
        </w:rPr>
        <w:t>Agamemnon</w:t>
      </w:r>
      <w:r w:rsidRPr="00E86F03">
        <w:rPr>
          <w:rFonts w:eastAsia="Times New Roman"/>
          <w:color w:val="000000" w:themeColor="text1"/>
          <w:lang w:val="en-GB" w:eastAsia="en-US"/>
        </w:rPr>
        <w:t xml:space="preserve"> highlights issues of testimony and credibility; </w:t>
      </w:r>
      <w:r w:rsidRPr="00E86F03">
        <w:rPr>
          <w:rFonts w:eastAsia="Times New Roman"/>
          <w:i/>
          <w:color w:val="000000" w:themeColor="text1"/>
          <w:lang w:val="en-GB" w:eastAsia="en-US"/>
        </w:rPr>
        <w:t>Oedipus Tyrannus</w:t>
      </w:r>
      <w:r w:rsidRPr="00E86F03">
        <w:rPr>
          <w:rFonts w:eastAsia="Times New Roman"/>
          <w:color w:val="000000" w:themeColor="text1"/>
          <w:lang w:val="en-GB" w:eastAsia="en-US"/>
        </w:rPr>
        <w:t xml:space="preserve"> illustrates the relationship between evidence and interpretation; Antigone brings to the fore the conflict between authority and competing truth claims; and </w:t>
      </w:r>
      <w:r w:rsidRPr="00E86F03">
        <w:rPr>
          <w:rFonts w:eastAsia="Times New Roman"/>
          <w:i/>
          <w:color w:val="000000" w:themeColor="text1"/>
          <w:lang w:val="en-GB" w:eastAsia="en-US"/>
        </w:rPr>
        <w:t>The Bacchae</w:t>
      </w:r>
      <w:r w:rsidRPr="00E86F03">
        <w:rPr>
          <w:rFonts w:eastAsia="Times New Roman"/>
          <w:color w:val="000000" w:themeColor="text1"/>
          <w:lang w:val="en-GB" w:eastAsia="en-US"/>
        </w:rPr>
        <w:t xml:space="preserve"> explores questions of denial, perception, and collective belief.</w:t>
      </w:r>
    </w:p>
    <w:p w14:paraId="4410F89E" w14:textId="77777777" w:rsidR="00282D23" w:rsidRPr="00E86F03" w:rsidRDefault="00282D23" w:rsidP="00282D23">
      <w:pPr>
        <w:pStyle w:val="BodyText"/>
        <w:spacing w:after="120"/>
        <w:ind w:firstLine="0"/>
        <w:rPr>
          <w:color w:val="000000" w:themeColor="text1"/>
        </w:rPr>
      </w:pPr>
      <w:r w:rsidRPr="00E86F03">
        <w:rPr>
          <w:rFonts w:eastAsia="Times New Roman"/>
          <w:color w:val="000000" w:themeColor="text1"/>
        </w:rPr>
        <w:t>There is significant research on Greek tragedy, myths, narratives, social epistemology, and contemporary information-disorder. However, these studies have generally evolved into individual theoretical fields. Recent research in narrative epistemology has also analyzed how narratives play a role in shaping knowledge, evidence, and perception (Talbi, 2025). This study does not claim any direct historical equivalence between these fields. Rather, it explores how the correlations of knowledge, credibility, evidence, authority, and belief are dramatized within the mythic narrative.</w:t>
      </w:r>
    </w:p>
    <w:p w14:paraId="5A1E95F2" w14:textId="77777777" w:rsidR="00282D23" w:rsidRPr="00E86F03" w:rsidRDefault="00282D23" w:rsidP="00282D23">
      <w:pPr>
        <w:pStyle w:val="BodyText"/>
        <w:spacing w:after="120"/>
        <w:ind w:firstLine="0"/>
        <w:rPr>
          <w:rFonts w:eastAsia="SimSun"/>
          <w:color w:val="000000" w:themeColor="text1"/>
          <w:lang w:val="en-GB" w:eastAsia="en-US"/>
        </w:rPr>
      </w:pPr>
      <w:r w:rsidRPr="00E86F03">
        <w:rPr>
          <w:rFonts w:eastAsia="Times New Roman"/>
          <w:color w:val="000000" w:themeColor="text1"/>
          <w:lang w:val="en-GB" w:eastAsia="en-US"/>
        </w:rPr>
        <w:t xml:space="preserve">To this end, the study proposes the concept of “Myth as Epistemic Infrastructure” (MEI). Through MEI, the selected tragedies are interpreted as narrative structures in which authority, testimony, evidence, interpretation, belief, and consequences are interconnected. The aim of this framework is not to establish Greek tragedy as an ancient version of contemporary information disorder. Rather, it seeks to show that some of the fundamental epistemic mechanisms of belief, doubt, and knowledge acquisition can be comparatively </w:t>
      </w:r>
      <w:proofErr w:type="spellStart"/>
      <w:r w:rsidRPr="00E86F03">
        <w:rPr>
          <w:rFonts w:eastAsia="Times New Roman"/>
          <w:color w:val="000000" w:themeColor="text1"/>
          <w:lang w:val="en-GB" w:eastAsia="en-US"/>
        </w:rPr>
        <w:t>analyzed</w:t>
      </w:r>
      <w:proofErr w:type="spellEnd"/>
      <w:r w:rsidRPr="00E86F03">
        <w:rPr>
          <w:rFonts w:eastAsia="Times New Roman"/>
          <w:color w:val="000000" w:themeColor="text1"/>
          <w:lang w:val="en-GB" w:eastAsia="en-US"/>
        </w:rPr>
        <w:t xml:space="preserve"> in different historical and cultural contexts.</w:t>
      </w:r>
    </w:p>
    <w:p w14:paraId="626B48DE" w14:textId="77777777" w:rsidR="00282D23" w:rsidRPr="00E86F03" w:rsidRDefault="00282D23" w:rsidP="00282D23">
      <w:pPr>
        <w:spacing w:after="120"/>
        <w:ind w:firstLine="0"/>
        <w:rPr>
          <w:color w:val="000000" w:themeColor="text1"/>
          <w:szCs w:val="24"/>
        </w:rPr>
      </w:pPr>
      <w:r w:rsidRPr="00E86F03">
        <w:rPr>
          <w:rFonts w:eastAsia="Times New Roman"/>
          <w:color w:val="000000" w:themeColor="text1"/>
          <w:szCs w:val="24"/>
        </w:rPr>
        <w:t xml:space="preserve">The core question of this research is: </w:t>
      </w:r>
    </w:p>
    <w:p w14:paraId="48D75253" w14:textId="77777777" w:rsidR="00282D23" w:rsidRPr="00E86F03" w:rsidRDefault="00282D23" w:rsidP="00282D23">
      <w:pPr>
        <w:spacing w:after="120"/>
        <w:ind w:firstLine="0"/>
        <w:rPr>
          <w:color w:val="000000" w:themeColor="text1"/>
          <w:szCs w:val="24"/>
        </w:rPr>
      </w:pPr>
      <w:r w:rsidRPr="00E86F03">
        <w:rPr>
          <w:rFonts w:eastAsia="Times New Roman"/>
          <w:color w:val="000000" w:themeColor="text1"/>
          <w:szCs w:val="24"/>
        </w:rPr>
        <w:lastRenderedPageBreak/>
        <w:t>How do selected ancient Greek tragedies dramatize the processes through which testimony, evidence, authority, and belief become accepted, rejected, or contested as knowledge?</w:t>
      </w:r>
    </w:p>
    <w:p w14:paraId="077E26A7" w14:textId="77777777" w:rsidR="00282D23" w:rsidRPr="00E86F03" w:rsidRDefault="00282D23" w:rsidP="00282D23">
      <w:pPr>
        <w:spacing w:after="120"/>
        <w:ind w:firstLine="0"/>
        <w:rPr>
          <w:color w:val="000000" w:themeColor="text1"/>
          <w:szCs w:val="24"/>
        </w:rPr>
      </w:pPr>
      <w:r w:rsidRPr="00E86F03">
        <w:rPr>
          <w:rFonts w:eastAsia="Times New Roman"/>
          <w:color w:val="000000" w:themeColor="text1"/>
          <w:szCs w:val="24"/>
        </w:rPr>
        <w:t>The study addresses five sub-questions:</w:t>
      </w:r>
    </w:p>
    <w:p w14:paraId="0D9D88BF" w14:textId="608EB1D4" w:rsidR="00282D23" w:rsidRPr="00282D23" w:rsidRDefault="00282D23" w:rsidP="00282D23">
      <w:pPr>
        <w:pStyle w:val="ListParagraph"/>
        <w:numPr>
          <w:ilvl w:val="0"/>
          <w:numId w:val="45"/>
        </w:numPr>
        <w:spacing w:after="120"/>
        <w:ind w:firstLineChars="0"/>
        <w:rPr>
          <w:color w:val="000000" w:themeColor="text1"/>
          <w:szCs w:val="24"/>
        </w:rPr>
      </w:pPr>
      <w:r w:rsidRPr="00282D23">
        <w:rPr>
          <w:rFonts w:eastAsia="Times New Roman"/>
          <w:color w:val="000000" w:themeColor="text1"/>
          <w:szCs w:val="24"/>
        </w:rPr>
        <w:t xml:space="preserve">How does </w:t>
      </w:r>
      <w:r w:rsidRPr="00282D23">
        <w:rPr>
          <w:rFonts w:eastAsia="Times New Roman"/>
          <w:i/>
          <w:iCs/>
          <w:color w:val="000000" w:themeColor="text1"/>
          <w:szCs w:val="24"/>
        </w:rPr>
        <w:t>Agamemno</w:t>
      </w:r>
      <w:r w:rsidRPr="00282D23">
        <w:rPr>
          <w:rFonts w:eastAsia="Times New Roman"/>
          <w:color w:val="000000" w:themeColor="text1"/>
          <w:szCs w:val="24"/>
        </w:rPr>
        <w:t>n construct the relationship between testimony and credibility?</w:t>
      </w:r>
    </w:p>
    <w:p w14:paraId="6F93C413" w14:textId="1E301DCF" w:rsidR="00282D23" w:rsidRPr="00282D23" w:rsidRDefault="00282D23" w:rsidP="00282D23">
      <w:pPr>
        <w:pStyle w:val="ListParagraph"/>
        <w:numPr>
          <w:ilvl w:val="0"/>
          <w:numId w:val="45"/>
        </w:numPr>
        <w:spacing w:after="120"/>
        <w:ind w:firstLineChars="0"/>
        <w:rPr>
          <w:color w:val="000000" w:themeColor="text1"/>
          <w:szCs w:val="24"/>
        </w:rPr>
      </w:pPr>
      <w:r w:rsidRPr="00282D23">
        <w:rPr>
          <w:rFonts w:eastAsia="Times New Roman"/>
          <w:color w:val="000000" w:themeColor="text1"/>
          <w:szCs w:val="24"/>
        </w:rPr>
        <w:t xml:space="preserve">How does </w:t>
      </w:r>
      <w:r w:rsidRPr="00282D23">
        <w:rPr>
          <w:rFonts w:eastAsia="Times New Roman"/>
          <w:i/>
          <w:iCs/>
          <w:color w:val="000000" w:themeColor="text1"/>
          <w:szCs w:val="24"/>
        </w:rPr>
        <w:t>Oedipus Tyrannus</w:t>
      </w:r>
      <w:r w:rsidRPr="00282D23">
        <w:rPr>
          <w:rFonts w:eastAsia="Times New Roman"/>
          <w:color w:val="000000" w:themeColor="text1"/>
          <w:szCs w:val="24"/>
        </w:rPr>
        <w:t xml:space="preserve"> reveal the relationship between evidence and interpretation?</w:t>
      </w:r>
    </w:p>
    <w:p w14:paraId="12D6120E" w14:textId="4632283A" w:rsidR="00282D23" w:rsidRPr="00282D23" w:rsidRDefault="00282D23" w:rsidP="00282D23">
      <w:pPr>
        <w:pStyle w:val="ListParagraph"/>
        <w:numPr>
          <w:ilvl w:val="0"/>
          <w:numId w:val="45"/>
        </w:numPr>
        <w:spacing w:after="120"/>
        <w:ind w:firstLineChars="0"/>
        <w:rPr>
          <w:color w:val="000000" w:themeColor="text1"/>
          <w:szCs w:val="24"/>
        </w:rPr>
      </w:pPr>
      <w:r w:rsidRPr="00282D23">
        <w:rPr>
          <w:rFonts w:eastAsia="Times New Roman"/>
          <w:color w:val="000000" w:themeColor="text1"/>
          <w:szCs w:val="24"/>
        </w:rPr>
        <w:t xml:space="preserve">How does </w:t>
      </w:r>
      <w:r w:rsidRPr="00282D23">
        <w:rPr>
          <w:rFonts w:eastAsia="Times New Roman"/>
          <w:i/>
          <w:iCs/>
          <w:color w:val="000000" w:themeColor="text1"/>
          <w:szCs w:val="24"/>
        </w:rPr>
        <w:t>Antigone</w:t>
      </w:r>
      <w:r w:rsidRPr="00282D23">
        <w:rPr>
          <w:rFonts w:eastAsia="Times New Roman"/>
          <w:color w:val="000000" w:themeColor="text1"/>
          <w:szCs w:val="24"/>
        </w:rPr>
        <w:t xml:space="preserve"> construct the conflict between competing authorities and truth claims?</w:t>
      </w:r>
    </w:p>
    <w:p w14:paraId="397F4E05" w14:textId="65DF2CAD" w:rsidR="00282D23" w:rsidRPr="00282D23" w:rsidRDefault="00282D23" w:rsidP="00282D23">
      <w:pPr>
        <w:pStyle w:val="ListParagraph"/>
        <w:numPr>
          <w:ilvl w:val="0"/>
          <w:numId w:val="45"/>
        </w:numPr>
        <w:spacing w:after="120"/>
        <w:ind w:firstLineChars="0"/>
        <w:rPr>
          <w:color w:val="000000" w:themeColor="text1"/>
          <w:szCs w:val="24"/>
        </w:rPr>
      </w:pPr>
      <w:r w:rsidRPr="00282D23">
        <w:rPr>
          <w:rFonts w:eastAsia="Times New Roman"/>
          <w:color w:val="000000" w:themeColor="text1"/>
          <w:szCs w:val="24"/>
        </w:rPr>
        <w:t xml:space="preserve">How does </w:t>
      </w:r>
      <w:r w:rsidRPr="00282D23">
        <w:rPr>
          <w:rFonts w:eastAsia="Times New Roman"/>
          <w:i/>
          <w:iCs/>
          <w:color w:val="000000" w:themeColor="text1"/>
          <w:szCs w:val="24"/>
        </w:rPr>
        <w:t>The Bacchae</w:t>
      </w:r>
      <w:r w:rsidRPr="00282D23">
        <w:rPr>
          <w:rFonts w:eastAsia="Times New Roman"/>
          <w:color w:val="000000" w:themeColor="text1"/>
          <w:szCs w:val="24"/>
        </w:rPr>
        <w:t xml:space="preserve"> reveal the relationship among belief, denial, and epistemic closure?</w:t>
      </w:r>
    </w:p>
    <w:p w14:paraId="63E0F2BA" w14:textId="7B179FA2" w:rsidR="00282D23" w:rsidRPr="00282D23" w:rsidRDefault="00282D23" w:rsidP="00282D23">
      <w:pPr>
        <w:pStyle w:val="ListParagraph"/>
        <w:numPr>
          <w:ilvl w:val="0"/>
          <w:numId w:val="45"/>
        </w:numPr>
        <w:spacing w:after="120"/>
        <w:ind w:firstLineChars="0"/>
        <w:rPr>
          <w:color w:val="000000" w:themeColor="text1"/>
          <w:szCs w:val="24"/>
        </w:rPr>
      </w:pPr>
      <w:r w:rsidRPr="00282D23">
        <w:rPr>
          <w:rFonts w:eastAsia="Times New Roman"/>
          <w:color w:val="000000" w:themeColor="text1"/>
          <w:szCs w:val="24"/>
        </w:rPr>
        <w:t>How do these four configurations collectively support the concept of Myth as Epistemic Infrastructure (MEI)?</w:t>
      </w:r>
    </w:p>
    <w:p w14:paraId="47CCAC67" w14:textId="77777777" w:rsidR="00282D23" w:rsidRPr="00E86F03" w:rsidRDefault="00282D23" w:rsidP="00282D23">
      <w:pPr>
        <w:pStyle w:val="Heading1"/>
        <w:rPr>
          <w:color w:val="000000" w:themeColor="text1"/>
          <w:szCs w:val="24"/>
        </w:rPr>
      </w:pPr>
      <w:r>
        <w:rPr>
          <w:rFonts w:eastAsia="Times New Roman"/>
          <w:color w:val="000000"/>
        </w:rPr>
        <w:t>Methodology</w:t>
      </w:r>
    </w:p>
    <w:p w14:paraId="11FEB54D" w14:textId="77777777" w:rsidR="00282D23" w:rsidRPr="00E86F03" w:rsidRDefault="00282D23" w:rsidP="00282D23">
      <w:pPr>
        <w:pStyle w:val="Heading2"/>
        <w:rPr>
          <w:color w:val="000000" w:themeColor="text1"/>
        </w:rPr>
      </w:pPr>
      <w:r>
        <w:rPr>
          <w:rFonts w:eastAsia="Times New Roman"/>
          <w:color w:val="000000"/>
        </w:rPr>
        <w:t>Research Method and Analytical Procedure</w:t>
      </w:r>
    </w:p>
    <w:p w14:paraId="737E0231" w14:textId="77777777" w:rsidR="00282D23" w:rsidRPr="00E86F03" w:rsidRDefault="00282D23" w:rsidP="00282D23">
      <w:pPr>
        <w:spacing w:after="120"/>
        <w:ind w:firstLine="0"/>
        <w:rPr>
          <w:color w:val="000000" w:themeColor="text1"/>
          <w:szCs w:val="24"/>
        </w:rPr>
      </w:pPr>
      <w:r w:rsidRPr="00E86F03">
        <w:rPr>
          <w:rFonts w:eastAsia="Times New Roman"/>
          <w:color w:val="000000" w:themeColor="text1"/>
          <w:szCs w:val="24"/>
        </w:rPr>
        <w:t xml:space="preserve">This study adopts a qualitative literature-research approach that includes intensive reading, comparative text-analysis, and interpretive criticism. The main texts of the study are Aeschylus's </w:t>
      </w:r>
      <w:r w:rsidRPr="00E86F03">
        <w:rPr>
          <w:rFonts w:eastAsia="Times New Roman"/>
          <w:i/>
          <w:color w:val="000000" w:themeColor="text1"/>
          <w:szCs w:val="24"/>
        </w:rPr>
        <w:t>Agamemnon</w:t>
      </w:r>
      <w:r w:rsidRPr="00E86F03">
        <w:rPr>
          <w:rFonts w:eastAsia="Times New Roman"/>
          <w:color w:val="000000" w:themeColor="text1"/>
          <w:szCs w:val="24"/>
        </w:rPr>
        <w:t xml:space="preserve">, Sophocles' </w:t>
      </w:r>
      <w:r w:rsidRPr="00E86F03">
        <w:rPr>
          <w:rFonts w:eastAsia="Times New Roman"/>
          <w:i/>
          <w:color w:val="000000" w:themeColor="text1"/>
          <w:szCs w:val="24"/>
        </w:rPr>
        <w:t>Oedipus Tyrannus</w:t>
      </w:r>
      <w:r w:rsidRPr="00E86F03">
        <w:rPr>
          <w:rFonts w:eastAsia="Times New Roman"/>
          <w:color w:val="000000" w:themeColor="text1"/>
          <w:szCs w:val="24"/>
        </w:rPr>
        <w:t xml:space="preserve"> and </w:t>
      </w:r>
      <w:r w:rsidRPr="00E86F03">
        <w:rPr>
          <w:rFonts w:eastAsia="Times New Roman"/>
          <w:i/>
          <w:color w:val="000000" w:themeColor="text1"/>
          <w:szCs w:val="24"/>
        </w:rPr>
        <w:t>Antigone</w:t>
      </w:r>
      <w:r w:rsidRPr="00E86F03">
        <w:rPr>
          <w:rFonts w:eastAsia="Times New Roman"/>
          <w:color w:val="000000" w:themeColor="text1"/>
          <w:szCs w:val="24"/>
        </w:rPr>
        <w:t xml:space="preserve">, and Euripides's </w:t>
      </w:r>
      <w:r w:rsidRPr="00E86F03">
        <w:rPr>
          <w:rFonts w:eastAsia="Times New Roman"/>
          <w:i/>
          <w:color w:val="000000" w:themeColor="text1"/>
          <w:szCs w:val="24"/>
        </w:rPr>
        <w:t>The Bacchae</w:t>
      </w:r>
      <w:r w:rsidRPr="00E86F03">
        <w:rPr>
          <w:rFonts w:eastAsia="Times New Roman"/>
          <w:color w:val="000000" w:themeColor="text1"/>
          <w:szCs w:val="24"/>
        </w:rPr>
        <w:t>. These plays have been purposefully selected because they present distinct but comparable forms of epistemological conflicts: evidence and credibility, evidence and interpretation, competing claims of authority and truth, and belief and denial, respectively. Although other Greek tragedies could also have been relevant to this study, these four selected plays provide a precise comparative text for examining the proposed MEI structure.</w:t>
      </w:r>
    </w:p>
    <w:p w14:paraId="44270CFC" w14:textId="77777777" w:rsidR="00282D23" w:rsidRPr="00E86F03" w:rsidRDefault="00282D23" w:rsidP="00282D23">
      <w:pPr>
        <w:spacing w:after="120"/>
        <w:ind w:firstLine="0"/>
        <w:rPr>
          <w:color w:val="000000" w:themeColor="text1"/>
          <w:szCs w:val="24"/>
        </w:rPr>
      </w:pPr>
      <w:r w:rsidRPr="00E86F03">
        <w:rPr>
          <w:rFonts w:eastAsia="Times New Roman"/>
          <w:color w:val="000000" w:themeColor="text1"/>
          <w:szCs w:val="24"/>
        </w:rPr>
        <w:t xml:space="preserve">The study used the English versions listed in the references: Theodoridis's </w:t>
      </w:r>
      <w:r w:rsidRPr="00E86F03">
        <w:rPr>
          <w:rFonts w:eastAsia="Times New Roman"/>
          <w:i/>
          <w:color w:val="000000" w:themeColor="text1"/>
          <w:szCs w:val="24"/>
        </w:rPr>
        <w:t>Agamemnon</w:t>
      </w:r>
      <w:r w:rsidRPr="00E86F03">
        <w:rPr>
          <w:rFonts w:eastAsia="Times New Roman"/>
          <w:color w:val="000000" w:themeColor="text1"/>
          <w:szCs w:val="24"/>
        </w:rPr>
        <w:t xml:space="preserve"> (2005), Fagles's </w:t>
      </w:r>
      <w:r w:rsidRPr="00E86F03">
        <w:rPr>
          <w:rFonts w:eastAsia="Times New Roman"/>
          <w:i/>
          <w:color w:val="000000" w:themeColor="text1"/>
          <w:szCs w:val="24"/>
        </w:rPr>
        <w:t>The Three Theban Plays</w:t>
      </w:r>
      <w:r w:rsidRPr="00E86F03">
        <w:rPr>
          <w:rFonts w:eastAsia="Times New Roman"/>
          <w:color w:val="000000" w:themeColor="text1"/>
          <w:szCs w:val="24"/>
        </w:rPr>
        <w:t xml:space="preserve"> (1994), and Vellacott's </w:t>
      </w:r>
      <w:r w:rsidRPr="00E86F03">
        <w:rPr>
          <w:rFonts w:eastAsia="Times New Roman"/>
          <w:i/>
          <w:color w:val="000000" w:themeColor="text1"/>
          <w:szCs w:val="24"/>
        </w:rPr>
        <w:t>The Bacchae and Other Plays</w:t>
      </w:r>
      <w:r w:rsidRPr="00E86F03">
        <w:rPr>
          <w:rFonts w:eastAsia="Times New Roman"/>
          <w:color w:val="000000" w:themeColor="text1"/>
          <w:szCs w:val="24"/>
        </w:rPr>
        <w:t xml:space="preserve"> (2000); The primary text is referenced following the line numbers of the respective versions. Each play is first analyzed through intensive reading. The six MEI dimensions: authority, testimony, evidence, interpretation, belief, and consequences are then analyzed using who establishes knowledge, how claims are presented and supported, how the evidence is interpreted, how beliefs are accepted or rejected, and the consequences. The analysis also identifies relevant narrative, ritual, political, and social structures and examines how they affect knowledge transmission, epistemological conflicts, and individual and collective activities. The results of the four plays are later compared; Here the six dimensions are considered not strictly linear steps, but as interconnected processes. Instead of viewing the plays as identical examples of tragic systems, they are analyzed on the basis of the specific pattern of relationships and processes in each play.</w:t>
      </w:r>
    </w:p>
    <w:p w14:paraId="2929EAB4" w14:textId="77777777" w:rsidR="00282D23" w:rsidRPr="00E86F03" w:rsidRDefault="00282D23" w:rsidP="00282D23">
      <w:pPr>
        <w:pStyle w:val="Heading2"/>
        <w:rPr>
          <w:color w:val="000000" w:themeColor="text1"/>
        </w:rPr>
      </w:pPr>
      <w:r>
        <w:rPr>
          <w:rFonts w:eastAsia="Times New Roman"/>
          <w:color w:val="000000"/>
        </w:rPr>
        <w:t>Limitations</w:t>
      </w:r>
    </w:p>
    <w:p w14:paraId="481DB5FC" w14:textId="77777777" w:rsidR="00282D23" w:rsidRPr="00E86F03" w:rsidRDefault="00282D23" w:rsidP="00282D23">
      <w:pPr>
        <w:spacing w:after="120"/>
        <w:ind w:firstLine="0"/>
        <w:rPr>
          <w:color w:val="000000" w:themeColor="text1"/>
          <w:szCs w:val="24"/>
        </w:rPr>
      </w:pPr>
      <w:r w:rsidRPr="00E86F03">
        <w:rPr>
          <w:rFonts w:eastAsia="Times New Roman"/>
          <w:color w:val="000000" w:themeColor="text1"/>
          <w:szCs w:val="24"/>
        </w:rPr>
        <w:t xml:space="preserve">The four selected plays do not represent the entire Greek tragedy; rather, they have been used as an focused and limited corpus for analyzing various forms of epistemological conflict through the MEI framework. As a result, alternative patterns of knowledge, authority, belief, and truth present in other Greek tragedies have not been directly examined in this study. In addition, as a qualitative and explanatory study, the results are also dependent on selected passages, analytical approaches, and the English translations used. Therefore, the results should not be considered universally applicable conclusions about the entire Greek tragedy. </w:t>
      </w:r>
    </w:p>
    <w:p w14:paraId="36DB6009" w14:textId="77777777" w:rsidR="00282D23" w:rsidRPr="00E86F03" w:rsidRDefault="00282D23" w:rsidP="00282D23">
      <w:pPr>
        <w:spacing w:after="120"/>
        <w:ind w:firstLine="0"/>
        <w:rPr>
          <w:color w:val="000000" w:themeColor="text1"/>
          <w:szCs w:val="24"/>
        </w:rPr>
      </w:pPr>
      <w:r w:rsidRPr="00E86F03">
        <w:rPr>
          <w:rFonts w:eastAsia="Times New Roman"/>
          <w:color w:val="000000" w:themeColor="text1"/>
          <w:szCs w:val="24"/>
        </w:rPr>
        <w:lastRenderedPageBreak/>
        <w:t>The four plays were selected to provide coverage across three major tragic playwrights and four distinct epistemic problems, allowing the MEI framework to be tested across variations in genre, dramatic context, and modes of knowledge conflict without making the corpus too broad for close comparative analysis.</w:t>
      </w:r>
    </w:p>
    <w:p w14:paraId="19000ACB" w14:textId="77777777" w:rsidR="00282D23" w:rsidRPr="00E86F03" w:rsidRDefault="00282D23" w:rsidP="00282D23">
      <w:pPr>
        <w:pStyle w:val="Heading1"/>
        <w:rPr>
          <w:color w:val="000000" w:themeColor="text1"/>
          <w:szCs w:val="24"/>
        </w:rPr>
      </w:pPr>
      <w:r>
        <w:rPr>
          <w:rFonts w:eastAsia="Times New Roman"/>
          <w:color w:val="000000"/>
        </w:rPr>
        <w:t>Results</w:t>
      </w:r>
    </w:p>
    <w:p w14:paraId="31AAD933" w14:textId="77777777" w:rsidR="00282D23" w:rsidRPr="00E86F03" w:rsidRDefault="00282D23" w:rsidP="00282D23">
      <w:pPr>
        <w:pStyle w:val="Heading2"/>
        <w:rPr>
          <w:color w:val="000000" w:themeColor="text1"/>
        </w:rPr>
      </w:pPr>
      <w:r>
        <w:rPr>
          <w:rFonts w:eastAsia="Times New Roman"/>
          <w:color w:val="000000"/>
        </w:rPr>
        <w:t>Agamemnon: Prophecy, Testimony, and Epistemic Injustice</w:t>
      </w:r>
    </w:p>
    <w:p w14:paraId="025B5000" w14:textId="77777777" w:rsidR="00282D23" w:rsidRPr="00E86F03" w:rsidRDefault="00282D23" w:rsidP="00282D23">
      <w:pPr>
        <w:spacing w:after="120"/>
        <w:ind w:firstLine="0"/>
        <w:rPr>
          <w:color w:val="000000" w:themeColor="text1"/>
          <w:szCs w:val="24"/>
        </w:rPr>
      </w:pPr>
      <w:r w:rsidRPr="00E86F03">
        <w:rPr>
          <w:rFonts w:eastAsia="Times New Roman"/>
          <w:color w:val="000000" w:themeColor="text1"/>
          <w:szCs w:val="24"/>
        </w:rPr>
        <w:t xml:space="preserve">The most striking example of epistemic conflict in </w:t>
      </w:r>
      <w:r w:rsidRPr="00E86F03">
        <w:rPr>
          <w:rFonts w:eastAsia="Times New Roman"/>
          <w:i/>
          <w:color w:val="000000" w:themeColor="text1"/>
          <w:szCs w:val="24"/>
        </w:rPr>
        <w:t>Agamemnon</w:t>
      </w:r>
      <w:r w:rsidRPr="00E86F03">
        <w:rPr>
          <w:rFonts w:eastAsia="Times New Roman"/>
          <w:color w:val="000000" w:themeColor="text1"/>
          <w:szCs w:val="24"/>
        </w:rPr>
        <w:t xml:space="preserve"> revolves around Cassandra. Cassandra possesses knowledge of the future, yet she initially lacks the credibility required for that knowledge to become socially effective. Consequently, the play raises questions that go beyond merely “who knows the truth”; it also explores how knowledge held by an individual transforms into social knowledge when that person lacks credibility.</w:t>
      </w:r>
    </w:p>
    <w:p w14:paraId="0418B4A5" w14:textId="77777777" w:rsidR="00282D23" w:rsidRPr="00E86F03" w:rsidRDefault="00282D23" w:rsidP="00282D23">
      <w:pPr>
        <w:spacing w:after="120"/>
        <w:ind w:firstLine="0"/>
        <w:rPr>
          <w:color w:val="000000" w:themeColor="text1"/>
          <w:szCs w:val="24"/>
        </w:rPr>
      </w:pPr>
      <w:r w:rsidRPr="00E86F03">
        <w:rPr>
          <w:rFonts w:eastAsia="Times New Roman"/>
          <w:color w:val="000000" w:themeColor="text1"/>
          <w:szCs w:val="24"/>
        </w:rPr>
        <w:t xml:space="preserve">Cassandra's epistemic authority becomes apparent gradually. At the beginning of the play, she remains silent for nearly three hundred lines. Initially, her silence accentuates her status as an unknown foreigner. Clytemnestra assumes she does not even understand the Greek language. The Chorus, too, remarks, “It seems to me the stranger needs some able interpreter” (Aeschylus, 2005, lines 1062–1063). Taplin (1985, p. 77) demonstrates that this silence subsequently transforms into an active marker of Cassandra’s “peculiarity.” Her prophetic speech gradually shifts from obscurity toward clear knowledge. </w:t>
      </w:r>
    </w:p>
    <w:p w14:paraId="42D6CA9A" w14:textId="77777777" w:rsidR="00282D23" w:rsidRPr="00E86F03" w:rsidRDefault="00282D23" w:rsidP="00282D23">
      <w:pPr>
        <w:spacing w:after="120"/>
        <w:ind w:firstLine="0"/>
        <w:rPr>
          <w:color w:val="000000" w:themeColor="text1"/>
          <w:szCs w:val="24"/>
        </w:rPr>
      </w:pPr>
      <w:r w:rsidRPr="00E86F03">
        <w:rPr>
          <w:rFonts w:eastAsia="Times New Roman"/>
          <w:color w:val="000000" w:themeColor="text1"/>
          <w:szCs w:val="24"/>
        </w:rPr>
        <w:t>This change is also reflected in Cassandra's own language: “But now! Now my prophecy will be seen utterly clearly! It will no longer be hidden behind the fine linen of a bride... No more riddles now. Now, I will enlighten you with clear words." (Aeschylus, 2005, lines 1178–1185)</w:t>
      </w:r>
    </w:p>
    <w:p w14:paraId="45274A4E" w14:textId="77777777" w:rsidR="00282D23" w:rsidRPr="00E86F03" w:rsidRDefault="00282D23" w:rsidP="00282D23">
      <w:pPr>
        <w:spacing w:after="120"/>
        <w:ind w:firstLine="0"/>
        <w:rPr>
          <w:color w:val="000000" w:themeColor="text1"/>
          <w:szCs w:val="24"/>
        </w:rPr>
      </w:pPr>
      <w:r w:rsidRPr="00E86F03">
        <w:rPr>
          <w:rFonts w:eastAsia="Times New Roman"/>
          <w:color w:val="000000" w:themeColor="text1"/>
          <w:szCs w:val="24"/>
        </w:rPr>
        <w:t xml:space="preserve">In other words, no new knowledge is being created here; rather, Cassandra begins to articulate her existing knowledge in a way that makes it more comprehensible to others. Taplin (1985, p. 104) interprets this change as Cassandra's move toward “knowledge and insight”. He contrasts </w:t>
      </w:r>
      <w:r w:rsidRPr="00E86F03">
        <w:rPr>
          <w:rFonts w:eastAsia="Times New Roman"/>
          <w:i/>
          <w:color w:val="000000" w:themeColor="text1"/>
          <w:szCs w:val="24"/>
        </w:rPr>
        <w:t>Agamemnon</w:t>
      </w:r>
      <w:r w:rsidRPr="00E86F03">
        <w:rPr>
          <w:rFonts w:eastAsia="Times New Roman"/>
          <w:color w:val="000000" w:themeColor="text1"/>
          <w:szCs w:val="24"/>
        </w:rPr>
        <w:t>’s journey with a state of “unknowingness,” while associating Cassandra’s journey with knowledge. Consequently, the play demonstrates that social authority and epistemic authority are not the same.</w:t>
      </w:r>
    </w:p>
    <w:p w14:paraId="0F5A7120" w14:textId="77777777" w:rsidR="00282D23" w:rsidRPr="00E86F03" w:rsidRDefault="00282D23" w:rsidP="00282D23">
      <w:pPr>
        <w:spacing w:after="120"/>
        <w:ind w:firstLine="0"/>
        <w:rPr>
          <w:color w:val="000000" w:themeColor="text1"/>
          <w:szCs w:val="24"/>
        </w:rPr>
      </w:pPr>
      <w:r w:rsidRPr="00E86F03">
        <w:rPr>
          <w:rFonts w:eastAsia="Times New Roman"/>
          <w:color w:val="000000" w:themeColor="text1"/>
          <w:szCs w:val="24"/>
        </w:rPr>
        <w:t>This distinction can be explained more precisely through Fricker’s (2007) concept of testimonial injustice. According to Fricker, testimonial injustice arises when prejudice diminishes a speaker's credibility. Its central form is the “identity-prejudicial credibility deficit” (p. 28). It would not be accurate to equate Cassandra directly with Fricker’s contemporary concept; however, there exists a significant structural tension between her identities as a woman, a foreigner, and a slave and her prophetic status. She possesses knowledge, yet the social readiness to accept that knowledge is weak.</w:t>
      </w:r>
    </w:p>
    <w:p w14:paraId="1BB2837D" w14:textId="77777777" w:rsidR="00282D23" w:rsidRPr="00E86F03" w:rsidRDefault="00282D23" w:rsidP="00282D23">
      <w:pPr>
        <w:spacing w:after="120"/>
        <w:ind w:firstLine="0"/>
        <w:rPr>
          <w:color w:val="000000" w:themeColor="text1"/>
          <w:szCs w:val="24"/>
        </w:rPr>
      </w:pPr>
      <w:r w:rsidRPr="00E86F03">
        <w:rPr>
          <w:rFonts w:eastAsia="Times New Roman"/>
          <w:color w:val="000000" w:themeColor="text1"/>
          <w:szCs w:val="24"/>
        </w:rPr>
        <w:t>Goldman’s social epistemology is also significant here. Acquiring knowledge through testimony relies on the statements of others; consequently, a speaker’s credibility is a crucial component of epistemic exchange (Goldman, 1999). Applying Goldman’s analysis to the case of Cassandra reveals that true knowledge becomes socially effective only when others regard the knowledge-bearing speaker as a credible epistemic source. It is precisely here that Cassandra’s tragedy transforms into a social-epistemic problem.</w:t>
      </w:r>
    </w:p>
    <w:p w14:paraId="2A6B01FE" w14:textId="77777777" w:rsidR="00282D23" w:rsidRPr="00E86F03" w:rsidRDefault="00282D23" w:rsidP="00282D23">
      <w:pPr>
        <w:spacing w:after="120"/>
        <w:ind w:firstLine="0"/>
        <w:rPr>
          <w:color w:val="000000" w:themeColor="text1"/>
          <w:szCs w:val="24"/>
        </w:rPr>
      </w:pPr>
      <w:r w:rsidRPr="00E86F03">
        <w:rPr>
          <w:rFonts w:eastAsia="Times New Roman"/>
          <w:color w:val="000000" w:themeColor="text1"/>
          <w:szCs w:val="24"/>
        </w:rPr>
        <w:t xml:space="preserve">The epistemic stance of the Chorus and the audience shifts alongside Cassandra’s speech. Taplin (1985) notes that the Chorus and the audience “are pulled round from the role of patronizers to that of the receivers of enlightenment” (p. 104). In other words, those who initially viewed Cassandra as a stranger and a subordinate woman gradually transform into recipients of her knowledge. </w:t>
      </w:r>
    </w:p>
    <w:p w14:paraId="66382DDC" w14:textId="77777777" w:rsidR="00282D23" w:rsidRPr="00E86F03" w:rsidRDefault="00282D23" w:rsidP="00282D23">
      <w:pPr>
        <w:spacing w:after="120"/>
        <w:ind w:firstLine="0"/>
        <w:rPr>
          <w:color w:val="000000" w:themeColor="text1"/>
          <w:szCs w:val="24"/>
        </w:rPr>
      </w:pPr>
      <w:r w:rsidRPr="00E86F03">
        <w:rPr>
          <w:rFonts w:eastAsia="Times New Roman"/>
          <w:color w:val="000000" w:themeColor="text1"/>
          <w:szCs w:val="24"/>
        </w:rPr>
        <w:lastRenderedPageBreak/>
        <w:t>The discussion of Vernant and Vidal-Naquet also shows the important role of prophecy, omen, and divine signs in Greek tragedy. They show that diviners and prophets serve as important intermediaries in the tragedy of Aeschylus to create a connection between the ambiguity of the human world and the divine world (Vernant &amp; Vidal-Naquet, 1996, p. 261). In Cassandra's case, this intermediary function is more complicated because although she carries knowledge, her words are not socially recognized at first.</w:t>
      </w:r>
    </w:p>
    <w:p w14:paraId="144440CB" w14:textId="77777777" w:rsidR="00282D23" w:rsidRPr="00E86F03" w:rsidRDefault="00282D23" w:rsidP="00282D23">
      <w:pPr>
        <w:spacing w:after="120"/>
        <w:ind w:firstLine="0"/>
        <w:rPr>
          <w:color w:val="000000" w:themeColor="text1"/>
          <w:szCs w:val="24"/>
        </w:rPr>
      </w:pPr>
      <w:r w:rsidRPr="00E86F03">
        <w:rPr>
          <w:rFonts w:eastAsia="Times New Roman"/>
          <w:color w:val="000000" w:themeColor="text1"/>
          <w:szCs w:val="24"/>
        </w:rPr>
        <w:t xml:space="preserve">Therefore, the testimony dimension of MEI in </w:t>
      </w:r>
      <w:r w:rsidRPr="00E86F03">
        <w:rPr>
          <w:rFonts w:eastAsia="Times New Roman"/>
          <w:i/>
          <w:iCs/>
          <w:color w:val="000000" w:themeColor="text1"/>
          <w:szCs w:val="24"/>
        </w:rPr>
        <w:t>Agamemnon</w:t>
      </w:r>
      <w:r w:rsidRPr="00E86F03">
        <w:rPr>
          <w:rFonts w:eastAsia="Times New Roman"/>
          <w:color w:val="000000" w:themeColor="text1"/>
          <w:szCs w:val="24"/>
        </w:rPr>
        <w:t xml:space="preserve"> adds three layers: knowledge, communicability, and credibility. Cassandra knows the truth and reveals it; But social recognition is needed for her testimony to be effective. As a result, the play shows that truth alone is insufficient for knowledge to become socially effective. Cassandra's tragedy is therefore not just a tragedy of ignored prophecy; It is an example of an epistemic failure where the truth is present, but the credibility of the person who bears that truth is not recognized in time.</w:t>
      </w:r>
    </w:p>
    <w:p w14:paraId="1976667E" w14:textId="77777777" w:rsidR="00282D23" w:rsidRPr="00E86F03" w:rsidRDefault="00282D23" w:rsidP="00282D23">
      <w:pPr>
        <w:spacing w:after="120"/>
        <w:ind w:firstLine="0"/>
        <w:rPr>
          <w:color w:val="000000" w:themeColor="text1"/>
          <w:szCs w:val="24"/>
        </w:rPr>
      </w:pPr>
      <w:r w:rsidRPr="00E86F03">
        <w:rPr>
          <w:rFonts w:eastAsia="Times New Roman"/>
          <w:color w:val="000000" w:themeColor="text1"/>
          <w:szCs w:val="24"/>
        </w:rPr>
        <w:t xml:space="preserve">This lesson follows by applying the dimensions of MEI to </w:t>
      </w:r>
      <w:r w:rsidRPr="00E86F03">
        <w:rPr>
          <w:rFonts w:eastAsia="Times New Roman"/>
          <w:i/>
          <w:color w:val="000000" w:themeColor="text1"/>
          <w:szCs w:val="24"/>
        </w:rPr>
        <w:t>Agamemnon</w:t>
      </w:r>
      <w:r w:rsidRPr="00E86F03">
        <w:rPr>
          <w:rFonts w:eastAsia="Times New Roman"/>
          <w:color w:val="000000" w:themeColor="text1"/>
          <w:szCs w:val="24"/>
        </w:rPr>
        <w:t xml:space="preserve"> to how Cassandra's prophetic authority and testimony are accepted, how the chorus and other characters interpret her knowledge, and how her failure to acknowledge her credibility contributes to the tragic outcome. While testimony and credibility are particularly important here, the analysis also considers their relationship to authority, interpretation, belief, and consequences.</w:t>
      </w:r>
    </w:p>
    <w:p w14:paraId="6E46B2D5" w14:textId="77777777" w:rsidR="00282D23" w:rsidRPr="00E86F03" w:rsidRDefault="00282D23" w:rsidP="00282D23">
      <w:pPr>
        <w:pStyle w:val="Heading2"/>
        <w:rPr>
          <w:color w:val="000000" w:themeColor="text1"/>
        </w:rPr>
      </w:pPr>
      <w:r>
        <w:rPr>
          <w:rFonts w:eastAsia="Times New Roman"/>
          <w:color w:val="000000"/>
        </w:rPr>
        <w:t>Oedipus Tyrannus: Evidence, Investigation and Interpretation</w:t>
      </w:r>
    </w:p>
    <w:p w14:paraId="29478506" w14:textId="77777777" w:rsidR="00282D23" w:rsidRPr="00E86F03" w:rsidRDefault="00282D23" w:rsidP="00282D23">
      <w:pPr>
        <w:spacing w:after="120"/>
        <w:ind w:firstLine="0"/>
        <w:rPr>
          <w:color w:val="000000" w:themeColor="text1"/>
          <w:szCs w:val="24"/>
        </w:rPr>
      </w:pPr>
      <w:r w:rsidRPr="00E86F03">
        <w:rPr>
          <w:rFonts w:eastAsia="Times New Roman"/>
          <w:color w:val="000000" w:themeColor="text1"/>
          <w:szCs w:val="24"/>
        </w:rPr>
        <w:t xml:space="preserve">If </w:t>
      </w:r>
      <w:r w:rsidRPr="00E86F03">
        <w:rPr>
          <w:rFonts w:eastAsia="Times New Roman"/>
          <w:i/>
          <w:iCs/>
          <w:color w:val="000000" w:themeColor="text1"/>
          <w:szCs w:val="24"/>
        </w:rPr>
        <w:t>Agamemnon</w:t>
      </w:r>
      <w:r w:rsidRPr="00E86F03">
        <w:rPr>
          <w:rFonts w:eastAsia="Times New Roman"/>
          <w:color w:val="000000" w:themeColor="text1"/>
          <w:szCs w:val="24"/>
        </w:rPr>
        <w:t xml:space="preserve"> demonstrates that even known truth may not be accepted as credible testimony, Sophocles’ </w:t>
      </w:r>
      <w:r w:rsidRPr="00E86F03">
        <w:rPr>
          <w:rFonts w:eastAsia="Times New Roman"/>
          <w:i/>
          <w:iCs/>
          <w:color w:val="000000" w:themeColor="text1"/>
          <w:szCs w:val="24"/>
        </w:rPr>
        <w:t xml:space="preserve">Oedipus Tyrannus </w:t>
      </w:r>
      <w:r w:rsidRPr="00E86F03">
        <w:rPr>
          <w:rFonts w:eastAsia="Times New Roman"/>
          <w:color w:val="000000" w:themeColor="text1"/>
          <w:szCs w:val="24"/>
        </w:rPr>
        <w:t xml:space="preserve">shifts the epistemic problem toward the realms of evidence, investigation, and interpretation. From the very beginning of the play, Oedipus seeks the cause of Thebes’s plight and the identity of Laius’s killer. He declares </w:t>
      </w:r>
      <w:r w:rsidRPr="00E86F03">
        <w:rPr>
          <w:rFonts w:eastAsia="Times New Roman"/>
          <w:b/>
          <w:color w:val="000000" w:themeColor="text1"/>
          <w:szCs w:val="24"/>
        </w:rPr>
        <w:t>“</w:t>
      </w:r>
      <w:r w:rsidRPr="00E86F03">
        <w:rPr>
          <w:rFonts w:eastAsia="Times New Roman"/>
          <w:color w:val="000000" w:themeColor="text1"/>
          <w:szCs w:val="24"/>
        </w:rPr>
        <w:t>I’ll start again—I’ll bring it all to light myself!</w:t>
      </w:r>
      <w:r w:rsidRPr="00E86F03">
        <w:rPr>
          <w:rFonts w:eastAsia="Times New Roman"/>
          <w:b/>
          <w:color w:val="000000" w:themeColor="text1"/>
          <w:szCs w:val="24"/>
        </w:rPr>
        <w:t>”</w:t>
      </w:r>
      <w:r w:rsidRPr="00E86F03">
        <w:rPr>
          <w:rFonts w:eastAsia="Times New Roman"/>
          <w:color w:val="000000" w:themeColor="text1"/>
          <w:szCs w:val="24"/>
        </w:rPr>
        <w:t xml:space="preserve"> (Sophocles, </w:t>
      </w:r>
      <w:r w:rsidRPr="00E86F03">
        <w:rPr>
          <w:rStyle w:val="Emphasis"/>
          <w:rFonts w:eastAsia="Times New Roman"/>
          <w:color w:val="000000" w:themeColor="text1"/>
          <w:szCs w:val="24"/>
        </w:rPr>
        <w:t>1994</w:t>
      </w:r>
      <w:r w:rsidRPr="00E86F03">
        <w:rPr>
          <w:rFonts w:eastAsia="Times New Roman"/>
          <w:color w:val="000000" w:themeColor="text1"/>
          <w:szCs w:val="24"/>
        </w:rPr>
        <w:t>, line 150). Thus, the pursuit of truth is not merely a political duty but also an integral part of his epistemic identity. But the person who is most active in uncovering the truth, his own identity and prejudices ultimately hinder him from understanding the meaning of the evidence.</w:t>
      </w:r>
    </w:p>
    <w:p w14:paraId="37C70388" w14:textId="77777777" w:rsidR="00282D23" w:rsidRPr="00E86F03" w:rsidRDefault="00282D23" w:rsidP="00282D23">
      <w:pPr>
        <w:spacing w:after="120"/>
        <w:ind w:firstLine="0"/>
        <w:rPr>
          <w:color w:val="000000" w:themeColor="text1"/>
          <w:szCs w:val="24"/>
        </w:rPr>
      </w:pPr>
      <w:r w:rsidRPr="00E86F03">
        <w:rPr>
          <w:rFonts w:eastAsia="Times New Roman"/>
          <w:color w:val="000000" w:themeColor="text1"/>
          <w:szCs w:val="24"/>
        </w:rPr>
        <w:t xml:space="preserve">Oedipus’s epistemic authority is grounded in his previous success. It was his ability to solve the Sphinx’s riddle that made him King of Thebes. A significant reversal of this capacity occurs during his encounter with Tiresias. Tiresias declares that Laius’s murderer is standing right before Oedipus and foretells his future blindness and exile (Sophocles, </w:t>
      </w:r>
      <w:r w:rsidRPr="00E86F03">
        <w:rPr>
          <w:rFonts w:eastAsia="Times New Roman"/>
          <w:i/>
          <w:iCs/>
          <w:color w:val="000000" w:themeColor="text1"/>
          <w:szCs w:val="24"/>
        </w:rPr>
        <w:t>1994</w:t>
      </w:r>
      <w:r w:rsidRPr="00E86F03">
        <w:rPr>
          <w:rFonts w:eastAsia="Times New Roman"/>
          <w:color w:val="000000" w:themeColor="text1"/>
          <w:szCs w:val="24"/>
        </w:rPr>
        <w:t>, lines 447–462). But Oedipus could not take this statement as evidence of his identity. He instead saw the possibility of a conspiracy against Tiresias and Creon. Thus, the problem is not the absence of evidence; the problem is the interpretation of the evidence.</w:t>
      </w:r>
    </w:p>
    <w:p w14:paraId="68DF55C4" w14:textId="77777777" w:rsidR="00282D23" w:rsidRPr="00E86F03" w:rsidRDefault="00282D23" w:rsidP="00282D23">
      <w:pPr>
        <w:spacing w:after="120"/>
        <w:ind w:firstLine="0"/>
        <w:rPr>
          <w:color w:val="000000" w:themeColor="text1"/>
          <w:szCs w:val="24"/>
        </w:rPr>
      </w:pPr>
      <w:r w:rsidRPr="00E86F03">
        <w:rPr>
          <w:rFonts w:eastAsia="Times New Roman"/>
          <w:color w:val="000000" w:themeColor="text1"/>
          <w:szCs w:val="24"/>
        </w:rPr>
        <w:t>This double meaning of Tiresias's statement makes the epistemic structure of the play particularly clear. The audience understands the meaning of his words, because they know Oedipus's true identity; but Oedipus does not understand it. Taplin (1985) shows that Tiresias' speech acts like a riddle (p. 30). Oedipus himself tells him, “Riddles—all you can say are riddles, murk and darkness,” to which Tiresias points to Oedipus's old Sphinx-solving abilities (Sophocles, 1994, lines 500–505). As a result, the meaning of the same evidence varies according to the epistemic position of the receiver.</w:t>
      </w:r>
    </w:p>
    <w:p w14:paraId="5AEA267B" w14:textId="77777777" w:rsidR="00282D23" w:rsidRPr="00E86F03" w:rsidRDefault="00282D23" w:rsidP="00282D23">
      <w:pPr>
        <w:spacing w:after="120"/>
        <w:ind w:firstLine="0"/>
        <w:rPr>
          <w:color w:val="000000" w:themeColor="text1"/>
          <w:szCs w:val="24"/>
        </w:rPr>
      </w:pPr>
      <w:r w:rsidRPr="00E86F03">
        <w:rPr>
          <w:rFonts w:eastAsia="Times New Roman"/>
          <w:color w:val="000000" w:themeColor="text1"/>
          <w:szCs w:val="24"/>
        </w:rPr>
        <w:t>In the subsequent parts of the play, the evidence steadily accumulates. Jocasta’s statements, the site of Laius’s murder, and the testimonies of the Corinthian messenger and the old shepherd gradually weave disparate facts into a larger pattern. Although Oedipus initially interprets the evidence in a way that aligns with his preconceptions, he is ultimately unable to sustain that interpretation. Consequently, the study identifies investigation, witnesses, evidence, interpretation, and delayed recognition as the central focuses of this tragedy.</w:t>
      </w:r>
    </w:p>
    <w:p w14:paraId="63D31433" w14:textId="77777777" w:rsidR="00282D23" w:rsidRPr="00E86F03" w:rsidRDefault="00282D23" w:rsidP="00282D23">
      <w:pPr>
        <w:spacing w:after="120"/>
        <w:ind w:firstLine="0"/>
        <w:rPr>
          <w:color w:val="000000" w:themeColor="text1"/>
          <w:szCs w:val="24"/>
        </w:rPr>
      </w:pPr>
      <w:r w:rsidRPr="00E86F03">
        <w:rPr>
          <w:rFonts w:eastAsia="Times New Roman"/>
          <w:color w:val="000000" w:themeColor="text1"/>
          <w:szCs w:val="24"/>
        </w:rPr>
        <w:lastRenderedPageBreak/>
        <w:t xml:space="preserve">This delayed recognition becomes more apparent in the light of Aristotle's </w:t>
      </w:r>
      <w:r w:rsidRPr="00E86F03">
        <w:rPr>
          <w:rFonts w:eastAsia="Times New Roman"/>
          <w:i/>
          <w:color w:val="000000" w:themeColor="text1"/>
          <w:szCs w:val="24"/>
        </w:rPr>
        <w:t>Poetics</w:t>
      </w:r>
      <w:r w:rsidRPr="00E86F03">
        <w:rPr>
          <w:rFonts w:eastAsia="Times New Roman"/>
          <w:color w:val="000000" w:themeColor="text1"/>
          <w:szCs w:val="24"/>
        </w:rPr>
        <w:t xml:space="preserve">. Aristotle (1996) speaks of peripeteia or reversal and anagnorisis or recognition as important elements of complex plots. Oedipus is an important example of these two elements, as Oedipus's investigation eventually leads to the recognition of one's own identity. Ricoeur (1984, p. 31) explains emplotment in Aristotle's </w:t>
      </w:r>
      <w:r w:rsidRPr="00E86F03">
        <w:rPr>
          <w:rFonts w:eastAsia="Times New Roman"/>
          <w:i/>
          <w:color w:val="000000" w:themeColor="text1"/>
          <w:szCs w:val="24"/>
        </w:rPr>
        <w:t>Poetics</w:t>
      </w:r>
      <w:r w:rsidRPr="00E86F03">
        <w:rPr>
          <w:rFonts w:eastAsia="Times New Roman"/>
          <w:color w:val="000000" w:themeColor="text1"/>
          <w:szCs w:val="24"/>
        </w:rPr>
        <w:t xml:space="preserve"> text as the process of organizing discrete events into a coherent whole. In his discussion, Aristotle's tragedy creates a narrative structure in which discordant events acquire a meaningful configuration.</w:t>
      </w:r>
    </w:p>
    <w:p w14:paraId="33BAC85D" w14:textId="77777777" w:rsidR="00282D23" w:rsidRPr="00E86F03" w:rsidRDefault="00282D23" w:rsidP="00282D23">
      <w:pPr>
        <w:spacing w:after="120"/>
        <w:ind w:firstLine="0"/>
        <w:rPr>
          <w:color w:val="000000" w:themeColor="text1"/>
          <w:szCs w:val="24"/>
        </w:rPr>
      </w:pPr>
      <w:r w:rsidRPr="00E86F03">
        <w:rPr>
          <w:rFonts w:eastAsia="Times New Roman"/>
          <w:color w:val="000000" w:themeColor="text1"/>
          <w:szCs w:val="24"/>
        </w:rPr>
        <w:t xml:space="preserve">This concept is important for understanding the epistemic structure of </w:t>
      </w:r>
      <w:r w:rsidRPr="00E86F03">
        <w:rPr>
          <w:rFonts w:eastAsia="Times New Roman"/>
          <w:i/>
          <w:color w:val="000000" w:themeColor="text1"/>
          <w:szCs w:val="24"/>
        </w:rPr>
        <w:t>Oedipus Tyrannus</w:t>
      </w:r>
      <w:r w:rsidRPr="00E86F03">
        <w:rPr>
          <w:rFonts w:eastAsia="Times New Roman"/>
          <w:color w:val="000000" w:themeColor="text1"/>
          <w:szCs w:val="24"/>
        </w:rPr>
        <w:t>. The individual testimonies and evidence confronting Oedipus do not reveal the whole truth separately. They are interconnected in the progress of the narrative. Ultimately, recognition occurs when the previous evidence is organized into a single explanatory pattern. That is, knowledge is not just information accumulation here; it is the result of narrative configuration.</w:t>
      </w:r>
    </w:p>
    <w:p w14:paraId="1FA5577A" w14:textId="77777777" w:rsidR="00282D23" w:rsidRPr="00E86F03" w:rsidRDefault="00282D23" w:rsidP="00282D23">
      <w:pPr>
        <w:spacing w:after="120"/>
        <w:ind w:firstLine="0"/>
        <w:rPr>
          <w:color w:val="000000" w:themeColor="text1"/>
          <w:szCs w:val="24"/>
        </w:rPr>
      </w:pPr>
      <w:r w:rsidRPr="00E86F03">
        <w:rPr>
          <w:rFonts w:eastAsia="Times New Roman"/>
          <w:color w:val="000000" w:themeColor="text1"/>
          <w:szCs w:val="24"/>
        </w:rPr>
        <w:t xml:space="preserve">Bruner's (1986, pp. 13–14) narrative theory helps explain another aspect of this interpretation. Narrative places the temporal relationships of human action, intention, and events in a meaningful configuration. In </w:t>
      </w:r>
      <w:r w:rsidRPr="00E86F03">
        <w:rPr>
          <w:rFonts w:eastAsia="Times New Roman"/>
          <w:i/>
          <w:iCs/>
          <w:color w:val="000000" w:themeColor="text1"/>
          <w:szCs w:val="24"/>
        </w:rPr>
        <w:t>Oedipus Tyrannus</w:t>
      </w:r>
      <w:r w:rsidRPr="00E86F03">
        <w:rPr>
          <w:rFonts w:eastAsia="Times New Roman"/>
          <w:color w:val="000000" w:themeColor="text1"/>
          <w:szCs w:val="24"/>
        </w:rPr>
        <w:t>, discrete evidence is not just stored as facts; they combine to form a causal narrative. As a result, Oedipus's investigation is both evidence collection and narrative reconstruction.</w:t>
      </w:r>
    </w:p>
    <w:p w14:paraId="2519A5EF" w14:textId="77777777" w:rsidR="00282D23" w:rsidRPr="00E86F03" w:rsidRDefault="00282D23" w:rsidP="00282D23">
      <w:pPr>
        <w:spacing w:after="120"/>
        <w:ind w:firstLine="0"/>
        <w:rPr>
          <w:color w:val="000000" w:themeColor="text1"/>
          <w:szCs w:val="24"/>
        </w:rPr>
      </w:pPr>
      <w:r w:rsidRPr="00E86F03">
        <w:rPr>
          <w:rFonts w:eastAsia="Times New Roman"/>
          <w:color w:val="000000" w:themeColor="text1"/>
          <w:szCs w:val="24"/>
        </w:rPr>
        <w:t xml:space="preserve">Segal (1981)'s </w:t>
      </w:r>
      <w:r w:rsidRPr="00E86F03">
        <w:rPr>
          <w:rFonts w:eastAsia="Times New Roman"/>
          <w:i/>
          <w:color w:val="000000" w:themeColor="text1"/>
          <w:szCs w:val="24"/>
        </w:rPr>
        <w:t>Tragedy and Civilization</w:t>
      </w:r>
      <w:r w:rsidRPr="00E86F03">
        <w:rPr>
          <w:rFonts w:eastAsia="Times New Roman"/>
          <w:color w:val="000000" w:themeColor="text1"/>
          <w:szCs w:val="24"/>
        </w:rPr>
        <w:t xml:space="preserve"> is important for understanding the relationship of knowledge, identity, and recognition in the Sophoclean tragedy. In Oedipus's case, the investigation is not ultimately limited to identifying the outside culprit. The investigator himself becomes the object of the search. As a result, his epistemic journey transforms from external investigation to self-recognition (Segal, 1981, pp. 8–10). It is this transformation that creates Oedipus's paradox of knowledge: the person who is able to solve the riddle of others fails to solve the riddle of his own identity until the full pattern of evidence is revealed to him.</w:t>
      </w:r>
    </w:p>
    <w:p w14:paraId="63FF87A8" w14:textId="77777777" w:rsidR="00282D23" w:rsidRPr="00E86F03" w:rsidRDefault="00282D23" w:rsidP="00282D23">
      <w:pPr>
        <w:spacing w:after="120"/>
        <w:ind w:firstLine="0"/>
        <w:rPr>
          <w:color w:val="000000" w:themeColor="text1"/>
          <w:szCs w:val="24"/>
        </w:rPr>
      </w:pPr>
      <w:r w:rsidRPr="00E86F03">
        <w:rPr>
          <w:rFonts w:eastAsia="Times New Roman"/>
          <w:color w:val="000000" w:themeColor="text1"/>
          <w:szCs w:val="24"/>
        </w:rPr>
        <w:t xml:space="preserve">Therefore, the nature of epistemic failure in </w:t>
      </w:r>
      <w:r w:rsidRPr="00E86F03">
        <w:rPr>
          <w:rFonts w:eastAsia="Times New Roman"/>
          <w:i/>
          <w:iCs/>
          <w:color w:val="000000" w:themeColor="text1"/>
          <w:szCs w:val="24"/>
        </w:rPr>
        <w:t>Oedipus Tyrannus</w:t>
      </w:r>
      <w:r w:rsidRPr="00E86F03">
        <w:rPr>
          <w:rFonts w:eastAsia="Times New Roman"/>
          <w:color w:val="000000" w:themeColor="text1"/>
          <w:szCs w:val="24"/>
        </w:rPr>
        <w:t xml:space="preserve"> is different from that in </w:t>
      </w:r>
      <w:r w:rsidRPr="00E86F03">
        <w:rPr>
          <w:rFonts w:eastAsia="Times New Roman"/>
          <w:i/>
          <w:iCs/>
          <w:color w:val="000000" w:themeColor="text1"/>
          <w:szCs w:val="24"/>
        </w:rPr>
        <w:t>Agamemnon</w:t>
      </w:r>
      <w:r w:rsidRPr="00E86F03">
        <w:rPr>
          <w:rFonts w:eastAsia="Times New Roman"/>
          <w:color w:val="000000" w:themeColor="text1"/>
          <w:szCs w:val="24"/>
        </w:rPr>
        <w:t>. In Cassandra's case, the problem was the credibility of truth; In Oedipus's case, although the evidence was present, but its interpretation repeatedly failed. Sophocles' primary text, Aristotle's recognition and reversal, Ricoeur's emplotment, Bruner's narrative meaning, and Segal's Sophoclean analysis together show that Oedipus's knowledge is not a direct access to truth. It is built on investigation, evidence, contested interpretation, and delayed recognition.</w:t>
      </w:r>
    </w:p>
    <w:p w14:paraId="5D041CF5" w14:textId="77777777" w:rsidR="00282D23" w:rsidRPr="00E86F03" w:rsidRDefault="00282D23" w:rsidP="00282D23">
      <w:pPr>
        <w:spacing w:after="120"/>
        <w:ind w:firstLine="0"/>
        <w:rPr>
          <w:color w:val="000000" w:themeColor="text1"/>
          <w:szCs w:val="24"/>
        </w:rPr>
      </w:pPr>
      <w:r w:rsidRPr="00E86F03">
        <w:rPr>
          <w:rFonts w:eastAsia="Times New Roman"/>
          <w:color w:val="000000" w:themeColor="text1"/>
          <w:szCs w:val="24"/>
        </w:rPr>
        <w:t xml:space="preserve">For this reason, </w:t>
      </w:r>
      <w:r w:rsidRPr="00E86F03">
        <w:rPr>
          <w:rFonts w:eastAsia="Times New Roman"/>
          <w:i/>
          <w:color w:val="000000" w:themeColor="text1"/>
          <w:szCs w:val="24"/>
        </w:rPr>
        <w:t>Oedipus Tyrannus</w:t>
      </w:r>
      <w:r w:rsidRPr="00E86F03">
        <w:rPr>
          <w:rFonts w:eastAsia="Times New Roman"/>
          <w:color w:val="000000" w:themeColor="text1"/>
          <w:szCs w:val="24"/>
        </w:rPr>
        <w:t xml:space="preserve"> raises a fundamental question from the perspective of MEI: "How should evidence be understood?" The play shows that evidence does not produce truth on its own. Translating evidence into meaningful knowledge requires explanation, adjustment to relevance, and ultimately recognition. So analysis follows how authority, evidence, evidence, interpretation, belief, and consequences interact with each other; At the same time, special emphasis is placed on the relationship between evidence and interpretation.</w:t>
      </w:r>
    </w:p>
    <w:p w14:paraId="01D7D68C" w14:textId="77777777" w:rsidR="00282D23" w:rsidRPr="00E86F03" w:rsidRDefault="00282D23" w:rsidP="00282D23">
      <w:pPr>
        <w:pStyle w:val="Heading2"/>
        <w:rPr>
          <w:color w:val="000000" w:themeColor="text1"/>
        </w:rPr>
      </w:pPr>
      <w:r>
        <w:rPr>
          <w:rFonts w:eastAsia="Times New Roman"/>
          <w:color w:val="000000"/>
        </w:rPr>
        <w:t>Antigone: Authority, Competing Truths, and the Legitimacy of Knowledge</w:t>
      </w:r>
    </w:p>
    <w:p w14:paraId="504E6FC8" w14:textId="77777777" w:rsidR="00282D23" w:rsidRPr="00E86F03" w:rsidRDefault="00282D23" w:rsidP="00282D23">
      <w:pPr>
        <w:spacing w:after="120"/>
        <w:ind w:firstLine="0"/>
        <w:rPr>
          <w:i/>
          <w:iCs/>
          <w:color w:val="000000" w:themeColor="text1"/>
          <w:szCs w:val="24"/>
        </w:rPr>
      </w:pPr>
      <w:r w:rsidRPr="00E86F03">
        <w:rPr>
          <w:rFonts w:eastAsia="Times New Roman"/>
          <w:color w:val="000000" w:themeColor="text1"/>
          <w:szCs w:val="24"/>
        </w:rPr>
        <w:t xml:space="preserve">While </w:t>
      </w:r>
      <w:r w:rsidRPr="00E86F03">
        <w:rPr>
          <w:rFonts w:eastAsia="Times New Roman"/>
          <w:i/>
          <w:iCs/>
          <w:color w:val="000000" w:themeColor="text1"/>
          <w:szCs w:val="24"/>
        </w:rPr>
        <w:t>Agamemnon</w:t>
      </w:r>
      <w:r w:rsidRPr="00E86F03">
        <w:rPr>
          <w:rFonts w:eastAsia="Times New Roman"/>
          <w:color w:val="000000" w:themeColor="text1"/>
          <w:szCs w:val="24"/>
        </w:rPr>
        <w:t xml:space="preserve"> brings to the fore issues of testimony and credibility, and </w:t>
      </w:r>
      <w:r w:rsidRPr="00E86F03">
        <w:rPr>
          <w:rFonts w:eastAsia="Times New Roman"/>
          <w:i/>
          <w:iCs/>
          <w:color w:val="000000" w:themeColor="text1"/>
          <w:szCs w:val="24"/>
        </w:rPr>
        <w:t>Oedipus Tyrannus</w:t>
      </w:r>
      <w:r w:rsidRPr="00E86F03">
        <w:rPr>
          <w:rFonts w:eastAsia="Times New Roman"/>
          <w:color w:val="000000" w:themeColor="text1"/>
          <w:szCs w:val="24"/>
        </w:rPr>
        <w:t xml:space="preserve"> highlights problems regarding evidence and interpretation, Sophocles’ </w:t>
      </w:r>
      <w:r w:rsidRPr="00E86F03">
        <w:rPr>
          <w:rFonts w:eastAsia="Times New Roman"/>
          <w:i/>
          <w:iCs/>
          <w:color w:val="000000" w:themeColor="text1"/>
          <w:szCs w:val="24"/>
        </w:rPr>
        <w:t xml:space="preserve">Antigone </w:t>
      </w:r>
      <w:r w:rsidRPr="00E86F03">
        <w:rPr>
          <w:rFonts w:eastAsia="Times New Roman"/>
          <w:color w:val="000000" w:themeColor="text1"/>
          <w:szCs w:val="24"/>
        </w:rPr>
        <w:t xml:space="preserve">elevates the epistemic conflict to the level of authority, competing truth claims, and legitimacy. The question here is not merely who possesses the truth, but rather which authority has the power to establish a claim as valid truth. Accordingly, the study identifies political authority, divine law, public legitimacy, and competing truth claims as the central foci of </w:t>
      </w:r>
      <w:r w:rsidRPr="00E86F03">
        <w:rPr>
          <w:rFonts w:eastAsia="Times New Roman"/>
          <w:i/>
          <w:iCs/>
          <w:color w:val="000000" w:themeColor="text1"/>
          <w:szCs w:val="24"/>
        </w:rPr>
        <w:t>Antigone.</w:t>
      </w:r>
    </w:p>
    <w:p w14:paraId="6C232AF7" w14:textId="77777777" w:rsidR="00282D23" w:rsidRPr="00E86F03" w:rsidRDefault="00282D23" w:rsidP="00282D23">
      <w:pPr>
        <w:spacing w:after="120"/>
        <w:ind w:firstLine="0"/>
        <w:rPr>
          <w:color w:val="000000" w:themeColor="text1"/>
          <w:szCs w:val="24"/>
        </w:rPr>
      </w:pPr>
      <w:r w:rsidRPr="00E86F03">
        <w:rPr>
          <w:rFonts w:eastAsia="Times New Roman"/>
          <w:color w:val="000000" w:themeColor="text1"/>
          <w:szCs w:val="24"/>
        </w:rPr>
        <w:t xml:space="preserve">Creon’s position is grounded in political authority. As the ruler of Thebes, he presents civic order, obedience, and state decrees as the foundations of legitimacy; to him, the burial of Polyneices constitutes an act of disobedience against state authority. In contrast, </w:t>
      </w:r>
      <w:r w:rsidRPr="00E86F03">
        <w:rPr>
          <w:rFonts w:eastAsia="Times New Roman"/>
          <w:i/>
          <w:color w:val="000000" w:themeColor="text1"/>
          <w:szCs w:val="24"/>
        </w:rPr>
        <w:t>Antigone</w:t>
      </w:r>
      <w:r w:rsidRPr="00E86F03">
        <w:rPr>
          <w:rFonts w:eastAsia="Times New Roman"/>
          <w:color w:val="000000" w:themeColor="text1"/>
          <w:szCs w:val="24"/>
        </w:rPr>
        <w:t xml:space="preserve"> </w:t>
      </w:r>
      <w:r w:rsidRPr="00E86F03">
        <w:rPr>
          <w:rFonts w:eastAsia="Times New Roman"/>
          <w:color w:val="000000" w:themeColor="text1"/>
          <w:szCs w:val="24"/>
        </w:rPr>
        <w:lastRenderedPageBreak/>
        <w:t>asserts a normative authority that transcends human decrees, invoking “the great unwritten, unshakable traditions” in opposition to Creon’s command (Sophocles, 1994, lines 504–505). Consequently, the same act “the burial of Polyneices“ takes on different meanings within these two distinct frameworks: for Creon, it is an act of disobedience, whereas for Antigone, it is a duty.</w:t>
      </w:r>
    </w:p>
    <w:p w14:paraId="1C343860" w14:textId="77777777" w:rsidR="00282D23" w:rsidRPr="00E86F03" w:rsidRDefault="00282D23" w:rsidP="00282D23">
      <w:pPr>
        <w:spacing w:after="120"/>
        <w:ind w:firstLine="0"/>
        <w:rPr>
          <w:color w:val="000000" w:themeColor="text1"/>
          <w:szCs w:val="24"/>
        </w:rPr>
      </w:pPr>
      <w:r w:rsidRPr="00E86F03">
        <w:rPr>
          <w:rFonts w:eastAsia="Times New Roman"/>
          <w:color w:val="000000" w:themeColor="text1"/>
          <w:szCs w:val="24"/>
        </w:rPr>
        <w:t xml:space="preserve">Vernant and Vidal-Naquet demonstrate that </w:t>
      </w:r>
      <w:r w:rsidRPr="00E86F03">
        <w:rPr>
          <w:rFonts w:eastAsia="Times New Roman"/>
          <w:i/>
          <w:iCs/>
          <w:color w:val="000000" w:themeColor="text1"/>
          <w:szCs w:val="24"/>
        </w:rPr>
        <w:t>Antigone</w:t>
      </w:r>
      <w:r w:rsidRPr="00E86F03">
        <w:rPr>
          <w:rFonts w:eastAsia="Times New Roman"/>
          <w:color w:val="000000" w:themeColor="text1"/>
          <w:szCs w:val="24"/>
        </w:rPr>
        <w:t xml:space="preserve"> does not merely present a simple conflict between the “individual” and the “State”; rather, a tension between the ‘oikos’ and the ‘city’ is at play (Vernant &amp; Vidal-Naquet, 1996, pp. 40-41). They also refer to Hegel’s interpretation of </w:t>
      </w:r>
      <w:r w:rsidRPr="00E86F03">
        <w:rPr>
          <w:rFonts w:eastAsia="Times New Roman"/>
          <w:i/>
          <w:iCs/>
          <w:color w:val="000000" w:themeColor="text1"/>
          <w:szCs w:val="24"/>
        </w:rPr>
        <w:t>Antigone</w:t>
      </w:r>
      <w:r w:rsidRPr="00E86F03">
        <w:rPr>
          <w:rFonts w:eastAsia="Times New Roman"/>
          <w:color w:val="000000" w:themeColor="text1"/>
          <w:szCs w:val="24"/>
        </w:rPr>
        <w:t xml:space="preserve">, cautioning against viewing the play simply as a clash between </w:t>
      </w:r>
      <w:r w:rsidRPr="00E86F03">
        <w:rPr>
          <w:rFonts w:eastAsia="Times New Roman"/>
          <w:i/>
          <w:color w:val="000000" w:themeColor="text1"/>
          <w:szCs w:val="24"/>
        </w:rPr>
        <w:t>Antigone</w:t>
      </w:r>
      <w:r w:rsidRPr="00E86F03">
        <w:rPr>
          <w:rFonts w:eastAsia="Times New Roman"/>
          <w:color w:val="000000" w:themeColor="text1"/>
          <w:szCs w:val="24"/>
        </w:rPr>
        <w:t>’s “wildness” and Creon’s “cold reason of State”.</w:t>
      </w:r>
    </w:p>
    <w:p w14:paraId="1A636B0E" w14:textId="77777777" w:rsidR="00282D23" w:rsidRPr="00E86F03" w:rsidRDefault="00282D23" w:rsidP="00282D23">
      <w:pPr>
        <w:spacing w:after="120"/>
        <w:ind w:firstLine="0"/>
        <w:rPr>
          <w:color w:val="000000" w:themeColor="text1"/>
          <w:szCs w:val="24"/>
        </w:rPr>
      </w:pPr>
      <w:r w:rsidRPr="00E86F03">
        <w:rPr>
          <w:rFonts w:eastAsia="Times New Roman"/>
          <w:color w:val="000000" w:themeColor="text1"/>
          <w:szCs w:val="24"/>
        </w:rPr>
        <w:t xml:space="preserve">Ricoeur, in discussing Sophocles' </w:t>
      </w:r>
      <w:r w:rsidRPr="00E86F03">
        <w:rPr>
          <w:rFonts w:eastAsia="Times New Roman"/>
          <w:i/>
          <w:color w:val="000000" w:themeColor="text1"/>
          <w:szCs w:val="24"/>
        </w:rPr>
        <w:t>Antigone</w:t>
      </w:r>
      <w:r w:rsidRPr="00E86F03">
        <w:rPr>
          <w:rFonts w:eastAsia="Times New Roman"/>
          <w:color w:val="000000" w:themeColor="text1"/>
          <w:szCs w:val="24"/>
        </w:rPr>
        <w:t xml:space="preserve">, cites a moral situation in which conflicting moral values and norms converge within the same narrative. According to him, tragedy serves as an “ethical laboratory” in which competing values can be examined and realized through narrative (Ricoeur, 1984, pp. 58–59). Thus, the conflict of </w:t>
      </w:r>
      <w:r w:rsidRPr="00E86F03">
        <w:rPr>
          <w:rFonts w:eastAsia="Times New Roman"/>
          <w:i/>
          <w:color w:val="000000" w:themeColor="text1"/>
          <w:szCs w:val="24"/>
        </w:rPr>
        <w:t>Antigone</w:t>
      </w:r>
      <w:r w:rsidRPr="00E86F03">
        <w:rPr>
          <w:rFonts w:eastAsia="Times New Roman"/>
          <w:color w:val="000000" w:themeColor="text1"/>
          <w:szCs w:val="24"/>
        </w:rPr>
        <w:t xml:space="preserve"> can be seen not only as a conflict between individuals and states, but also as an epistemic conflict between opposing moral claims.</w:t>
      </w:r>
    </w:p>
    <w:p w14:paraId="730ECA0E" w14:textId="77777777" w:rsidR="00282D23" w:rsidRPr="00E86F03" w:rsidRDefault="00282D23" w:rsidP="00282D23">
      <w:pPr>
        <w:spacing w:after="120"/>
        <w:ind w:firstLine="0"/>
        <w:rPr>
          <w:color w:val="000000" w:themeColor="text1"/>
          <w:szCs w:val="24"/>
        </w:rPr>
      </w:pPr>
      <w:r w:rsidRPr="00E86F03">
        <w:rPr>
          <w:rFonts w:eastAsia="Times New Roman"/>
          <w:color w:val="000000" w:themeColor="text1"/>
          <w:szCs w:val="24"/>
        </w:rPr>
        <w:t xml:space="preserve">Foucault’s power/knowledge framework clarifies the epistemic dimension of this conflict. According to him, power and knowledge are not separate; specific forms of knowledge and rational discourse are constituted and regulated within power relations (Foucault, 1980, pp. 51–52, 93). The legitimacy of discourse is also influenced by governing systems of “order, appropriation and exclusion” (Gordon, 1980, p. 233). Thus, in </w:t>
      </w:r>
      <w:r w:rsidRPr="00E86F03">
        <w:rPr>
          <w:rFonts w:eastAsia="Times New Roman"/>
          <w:i/>
          <w:iCs/>
          <w:color w:val="000000" w:themeColor="text1"/>
          <w:szCs w:val="24"/>
        </w:rPr>
        <w:t>Antigone</w:t>
      </w:r>
      <w:r w:rsidRPr="00E86F03">
        <w:rPr>
          <w:rFonts w:eastAsia="Times New Roman"/>
          <w:color w:val="000000" w:themeColor="text1"/>
          <w:szCs w:val="24"/>
        </w:rPr>
        <w:t xml:space="preserve">, Creon’s political authority does not merely control action; it also constricts the scope of interpretation. </w:t>
      </w:r>
      <w:r w:rsidRPr="00E86F03">
        <w:rPr>
          <w:rFonts w:eastAsia="Times New Roman"/>
          <w:i/>
          <w:color w:val="000000" w:themeColor="text1"/>
          <w:szCs w:val="24"/>
        </w:rPr>
        <w:t>Antigone</w:t>
      </w:r>
      <w:r w:rsidRPr="00E86F03">
        <w:rPr>
          <w:rFonts w:eastAsia="Times New Roman"/>
          <w:color w:val="000000" w:themeColor="text1"/>
          <w:szCs w:val="24"/>
        </w:rPr>
        <w:t>’s stance is not perceived as an alternative form of knowledge but rather as a threat to the state order.</w:t>
      </w:r>
    </w:p>
    <w:p w14:paraId="196A705A" w14:textId="77777777" w:rsidR="00282D23" w:rsidRPr="00E86F03" w:rsidRDefault="00282D23" w:rsidP="00282D23">
      <w:pPr>
        <w:spacing w:after="120"/>
        <w:ind w:firstLine="0"/>
        <w:rPr>
          <w:color w:val="000000" w:themeColor="text1"/>
          <w:szCs w:val="24"/>
        </w:rPr>
      </w:pPr>
      <w:r w:rsidRPr="00E86F03">
        <w:rPr>
          <w:rFonts w:eastAsia="Times New Roman"/>
          <w:color w:val="000000" w:themeColor="text1"/>
          <w:szCs w:val="24"/>
        </w:rPr>
        <w:t xml:space="preserve">Michael Lynch’s truth-oriented approach draws an important distinction here. In </w:t>
      </w:r>
      <w:r w:rsidRPr="00E86F03">
        <w:rPr>
          <w:rFonts w:eastAsia="Times New Roman"/>
          <w:i/>
          <w:iCs/>
          <w:color w:val="000000" w:themeColor="text1"/>
          <w:szCs w:val="24"/>
        </w:rPr>
        <w:t>True to Life: Why Truth Matters</w:t>
      </w:r>
      <w:r w:rsidRPr="00E86F03">
        <w:rPr>
          <w:rFonts w:eastAsia="Times New Roman"/>
          <w:color w:val="000000" w:themeColor="text1"/>
          <w:szCs w:val="24"/>
        </w:rPr>
        <w:t xml:space="preserve">, Lynch defends the significance of truth and opposes reducing it merely to personal belief or preference (Lynch, 2004, pp. 35–36). Consequently, the existence of competing truth claims does not imply that all claims are equally true or legitimate. Creon’s political authority does not automatically render his claim true; likewise, </w:t>
      </w:r>
      <w:r w:rsidRPr="00E86F03">
        <w:rPr>
          <w:rFonts w:eastAsia="Times New Roman"/>
          <w:i/>
          <w:color w:val="000000" w:themeColor="text1"/>
          <w:szCs w:val="24"/>
        </w:rPr>
        <w:t>Antigone</w:t>
      </w:r>
      <w:r w:rsidRPr="00E86F03">
        <w:rPr>
          <w:rFonts w:eastAsia="Times New Roman"/>
          <w:color w:val="000000" w:themeColor="text1"/>
          <w:szCs w:val="24"/>
        </w:rPr>
        <w:t>’s moral conviction does not solve all questions on its own.</w:t>
      </w:r>
    </w:p>
    <w:p w14:paraId="2364EA83" w14:textId="77777777" w:rsidR="00282D23" w:rsidRPr="00E86F03" w:rsidRDefault="00282D23" w:rsidP="00282D23">
      <w:pPr>
        <w:spacing w:after="120"/>
        <w:ind w:firstLine="0"/>
        <w:rPr>
          <w:color w:val="000000" w:themeColor="text1"/>
          <w:szCs w:val="24"/>
        </w:rPr>
      </w:pPr>
      <w:r w:rsidRPr="00E86F03">
        <w:rPr>
          <w:rFonts w:eastAsia="Times New Roman"/>
          <w:i/>
          <w:iCs/>
          <w:color w:val="000000" w:themeColor="text1"/>
          <w:szCs w:val="24"/>
        </w:rPr>
        <w:t>Antigone</w:t>
      </w:r>
      <w:r w:rsidRPr="00E86F03">
        <w:rPr>
          <w:rFonts w:eastAsia="Times New Roman"/>
          <w:color w:val="000000" w:themeColor="text1"/>
          <w:szCs w:val="24"/>
        </w:rPr>
        <w:t xml:space="preserve"> differs from the previous two tragedies in this respect. In Cassandra's case, the problem was truth without sufficient credibility; in Oedipus's case, evidence without adequate interpretation; and in </w:t>
      </w:r>
      <w:r w:rsidRPr="00E86F03">
        <w:rPr>
          <w:rFonts w:eastAsia="Times New Roman"/>
          <w:i/>
          <w:iCs/>
          <w:color w:val="000000" w:themeColor="text1"/>
          <w:szCs w:val="24"/>
        </w:rPr>
        <w:t>Antigone</w:t>
      </w:r>
      <w:r w:rsidRPr="00E86F03">
        <w:rPr>
          <w:rFonts w:eastAsia="Times New Roman"/>
          <w:color w:val="000000" w:themeColor="text1"/>
          <w:szCs w:val="24"/>
        </w:rPr>
        <w:t>, competing authorities produce competing truth claims. In the text of Vernant and Vidal-Naquet, tragedy creates a situation where one dike collides with another dike and the meaning of law is not fixed (Vernant &amp; Vidal-Naquet, 1996, p. 26)).</w:t>
      </w:r>
    </w:p>
    <w:p w14:paraId="718577CE" w14:textId="77777777" w:rsidR="00282D23" w:rsidRPr="00E86F03" w:rsidRDefault="00282D23" w:rsidP="00282D23">
      <w:pPr>
        <w:spacing w:after="120"/>
        <w:ind w:firstLine="0"/>
        <w:rPr>
          <w:b/>
          <w:color w:val="000000" w:themeColor="text1"/>
          <w:szCs w:val="24"/>
        </w:rPr>
      </w:pPr>
      <w:r w:rsidRPr="00E86F03">
        <w:rPr>
          <w:rFonts w:eastAsia="Times New Roman"/>
          <w:color w:val="000000" w:themeColor="text1"/>
          <w:szCs w:val="24"/>
        </w:rPr>
        <w:t xml:space="preserve">Consequently, </w:t>
      </w:r>
      <w:r w:rsidRPr="00E86F03">
        <w:rPr>
          <w:rFonts w:eastAsia="Times New Roman"/>
          <w:i/>
          <w:color w:val="000000" w:themeColor="text1"/>
          <w:szCs w:val="24"/>
        </w:rPr>
        <w:t>Antigone</w:t>
      </w:r>
      <w:r w:rsidRPr="00E86F03">
        <w:rPr>
          <w:rFonts w:eastAsia="Times New Roman"/>
          <w:color w:val="000000" w:themeColor="text1"/>
          <w:szCs w:val="24"/>
        </w:rPr>
        <w:t xml:space="preserve"> elucidates the relationship of authority → interpretation → belief → consequences within the MEI framework. Authority does not merely determine who speaks; it also influences which statements are deemed legitimate and which interpretations are considered acceptable. </w:t>
      </w:r>
    </w:p>
    <w:p w14:paraId="28522056" w14:textId="77777777" w:rsidR="00282D23" w:rsidRPr="00E86F03" w:rsidRDefault="00282D23" w:rsidP="00282D23">
      <w:pPr>
        <w:spacing w:after="120"/>
        <w:ind w:firstLine="0"/>
        <w:rPr>
          <w:color w:val="000000" w:themeColor="text1"/>
          <w:szCs w:val="24"/>
        </w:rPr>
      </w:pPr>
      <w:r w:rsidRPr="00E86F03">
        <w:rPr>
          <w:rFonts w:eastAsia="Times New Roman"/>
          <w:color w:val="000000" w:themeColor="text1"/>
          <w:szCs w:val="24"/>
        </w:rPr>
        <w:t xml:space="preserve">As a result, </w:t>
      </w:r>
      <w:r w:rsidRPr="00E86F03">
        <w:rPr>
          <w:rFonts w:eastAsia="Times New Roman"/>
          <w:i/>
          <w:color w:val="000000" w:themeColor="text1"/>
          <w:szCs w:val="24"/>
        </w:rPr>
        <w:t>Antigone</w:t>
      </w:r>
      <w:r w:rsidRPr="00E86F03">
        <w:rPr>
          <w:rFonts w:eastAsia="Times New Roman"/>
          <w:color w:val="000000" w:themeColor="text1"/>
          <w:szCs w:val="24"/>
        </w:rPr>
        <w:t xml:space="preserve"> clarifies the correlation of authority, testimony, evidence, interpretation, belief, and consequences within the MEI framework; In particular, the emphasis is on how mutually competing authority influences the interpretation and acceptance of claims of truth.</w:t>
      </w:r>
    </w:p>
    <w:p w14:paraId="71AF3883" w14:textId="77777777" w:rsidR="00282D23" w:rsidRPr="00E86F03" w:rsidRDefault="00282D23" w:rsidP="00282D23">
      <w:pPr>
        <w:spacing w:after="120"/>
        <w:ind w:firstLine="0"/>
        <w:rPr>
          <w:color w:val="000000" w:themeColor="text1"/>
          <w:szCs w:val="24"/>
        </w:rPr>
      </w:pPr>
      <w:r w:rsidRPr="00E86F03">
        <w:rPr>
          <w:rFonts w:eastAsia="Times New Roman"/>
          <w:i/>
          <w:iCs/>
          <w:color w:val="000000" w:themeColor="text1"/>
          <w:szCs w:val="24"/>
        </w:rPr>
        <w:t>Antigone</w:t>
      </w:r>
      <w:r w:rsidRPr="00E86F03">
        <w:rPr>
          <w:rFonts w:eastAsia="Times New Roman"/>
          <w:color w:val="000000" w:themeColor="text1"/>
          <w:szCs w:val="24"/>
        </w:rPr>
        <w:t xml:space="preserve"> therefore poses a fundamental epistemic question: which authority legitimizes a truth claim, and can that authority guarantee truth? Instead of providing a simple solution to this question, Sophocles places competing claims, competing authorities, and their tragic consequences in the same epistemic field.</w:t>
      </w:r>
    </w:p>
    <w:p w14:paraId="6A17FF69" w14:textId="77777777" w:rsidR="00282D23" w:rsidRPr="00E86F03" w:rsidRDefault="00282D23" w:rsidP="00282D23">
      <w:pPr>
        <w:pStyle w:val="Heading2"/>
        <w:rPr>
          <w:color w:val="000000" w:themeColor="text1"/>
        </w:rPr>
      </w:pPr>
      <w:r>
        <w:rPr>
          <w:rFonts w:eastAsia="Times New Roman"/>
          <w:color w:val="000000"/>
        </w:rPr>
        <w:lastRenderedPageBreak/>
        <w:t>The Bacchae: Denial, Collective Belief, and Epistemic Closure</w:t>
      </w:r>
    </w:p>
    <w:p w14:paraId="35AE48DF" w14:textId="77777777" w:rsidR="00282D23" w:rsidRPr="00E86F03" w:rsidRDefault="00282D23" w:rsidP="00282D23">
      <w:pPr>
        <w:spacing w:after="120"/>
        <w:ind w:firstLine="0"/>
        <w:rPr>
          <w:color w:val="000000" w:themeColor="text1"/>
          <w:szCs w:val="24"/>
        </w:rPr>
      </w:pPr>
      <w:r w:rsidRPr="00E86F03">
        <w:rPr>
          <w:rFonts w:eastAsia="Times New Roman"/>
          <w:i/>
          <w:iCs/>
          <w:color w:val="000000" w:themeColor="text1"/>
          <w:szCs w:val="24"/>
        </w:rPr>
        <w:t xml:space="preserve">The Bacchae </w:t>
      </w:r>
      <w:r w:rsidRPr="00E86F03">
        <w:rPr>
          <w:rFonts w:eastAsia="Times New Roman"/>
          <w:color w:val="000000" w:themeColor="text1"/>
          <w:szCs w:val="24"/>
        </w:rPr>
        <w:t xml:space="preserve">brings to the fore the fourth epistemic configuration. In </w:t>
      </w:r>
      <w:r w:rsidRPr="00E86F03">
        <w:rPr>
          <w:rFonts w:eastAsia="Times New Roman"/>
          <w:i/>
          <w:iCs/>
          <w:color w:val="000000" w:themeColor="text1"/>
          <w:szCs w:val="24"/>
        </w:rPr>
        <w:t>Agamemnon,</w:t>
      </w:r>
      <w:r w:rsidRPr="00E86F03">
        <w:rPr>
          <w:rFonts w:eastAsia="Times New Roman"/>
          <w:color w:val="000000" w:themeColor="text1"/>
          <w:szCs w:val="24"/>
        </w:rPr>
        <w:t xml:space="preserve"> the question was whether the speaker is believed despite knowing the truth; the interpretation of evidence in </w:t>
      </w:r>
      <w:r w:rsidRPr="00E86F03">
        <w:rPr>
          <w:rFonts w:eastAsia="Times New Roman"/>
          <w:i/>
          <w:iCs/>
          <w:color w:val="000000" w:themeColor="text1"/>
          <w:szCs w:val="24"/>
        </w:rPr>
        <w:t>Oedipus Tyrannus</w:t>
      </w:r>
      <w:r w:rsidRPr="00E86F03">
        <w:rPr>
          <w:rFonts w:eastAsia="Times New Roman"/>
          <w:color w:val="000000" w:themeColor="text1"/>
          <w:szCs w:val="24"/>
        </w:rPr>
        <w:t xml:space="preserve">; competing authority in </w:t>
      </w:r>
      <w:r w:rsidRPr="00E86F03">
        <w:rPr>
          <w:rFonts w:eastAsia="Times New Roman"/>
          <w:i/>
          <w:iCs/>
          <w:color w:val="000000" w:themeColor="text1"/>
          <w:szCs w:val="24"/>
        </w:rPr>
        <w:t>Antigone</w:t>
      </w:r>
      <w:r w:rsidRPr="00E86F03">
        <w:rPr>
          <w:rFonts w:eastAsia="Times New Roman"/>
          <w:color w:val="000000" w:themeColor="text1"/>
          <w:szCs w:val="24"/>
        </w:rPr>
        <w:t xml:space="preserve">. </w:t>
      </w:r>
      <w:r w:rsidRPr="00E86F03">
        <w:rPr>
          <w:rFonts w:eastAsia="Times New Roman"/>
          <w:i/>
          <w:color w:val="000000" w:themeColor="text1"/>
          <w:szCs w:val="24"/>
        </w:rPr>
        <w:t>The Bacchae</w:t>
      </w:r>
      <w:r w:rsidRPr="00E86F03">
        <w:rPr>
          <w:rFonts w:eastAsia="Times New Roman"/>
          <w:color w:val="000000" w:themeColor="text1"/>
          <w:szCs w:val="24"/>
        </w:rPr>
        <w:t xml:space="preserve"> shows how denial, perception, and collective belief can create an epistemic environment where it becomes difficult to receive the opposite knowledge.</w:t>
      </w:r>
    </w:p>
    <w:p w14:paraId="7A2E51CC" w14:textId="77777777" w:rsidR="00282D23" w:rsidRPr="00E86F03" w:rsidRDefault="00282D23" w:rsidP="00282D23">
      <w:pPr>
        <w:spacing w:after="120"/>
        <w:ind w:firstLine="0"/>
        <w:rPr>
          <w:color w:val="000000" w:themeColor="text1"/>
          <w:szCs w:val="24"/>
        </w:rPr>
      </w:pPr>
      <w:r w:rsidRPr="00E86F03">
        <w:rPr>
          <w:rFonts w:eastAsia="Times New Roman"/>
          <w:color w:val="000000" w:themeColor="text1"/>
          <w:szCs w:val="24"/>
        </w:rPr>
        <w:t xml:space="preserve">Pentheus classifies Dionysian worship as a disorder and a threat rather than as a religious reality </w:t>
      </w:r>
      <w:r w:rsidRPr="00E86F03">
        <w:rPr>
          <w:rStyle w:val="Strong"/>
          <w:rFonts w:eastAsia="Times New Roman"/>
          <w:b w:val="0"/>
          <w:color w:val="000000" w:themeColor="text1"/>
          <w:szCs w:val="24"/>
        </w:rPr>
        <w:t>(Euripides, 2000)</w:t>
      </w:r>
      <w:r w:rsidRPr="00E86F03">
        <w:rPr>
          <w:rFonts w:eastAsia="Times New Roman"/>
          <w:b/>
          <w:color w:val="000000" w:themeColor="text1"/>
          <w:szCs w:val="24"/>
        </w:rPr>
        <w:t>.</w:t>
      </w:r>
      <w:r w:rsidRPr="00E86F03">
        <w:rPr>
          <w:rFonts w:eastAsia="Times New Roman"/>
          <w:color w:val="000000" w:themeColor="text1"/>
          <w:szCs w:val="24"/>
        </w:rPr>
        <w:t xml:space="preserve"> As a result, new information does not revise his preconceived notions; rather, it finds meaning within that existing belief. The presence of Dionysus destabilizes these established categories. Vernant and Vidal-Naquet demonstrate that in the world of Dionysus, familiar appearances no longer remain constant; he creates a reality where “nothing and no one ever remain what they seem” (Vernant &amp; Vidal-Naquet, 1996, p. 398).</w:t>
      </w:r>
    </w:p>
    <w:p w14:paraId="5E05078D" w14:textId="77777777" w:rsidR="00282D23" w:rsidRPr="00E86F03" w:rsidRDefault="00282D23" w:rsidP="00282D23">
      <w:pPr>
        <w:spacing w:after="120"/>
        <w:ind w:firstLine="0"/>
        <w:rPr>
          <w:color w:val="000000" w:themeColor="text1"/>
          <w:szCs w:val="24"/>
        </w:rPr>
      </w:pPr>
      <w:r w:rsidRPr="00E86F03">
        <w:rPr>
          <w:rFonts w:eastAsia="Times New Roman"/>
          <w:color w:val="000000" w:themeColor="text1"/>
          <w:szCs w:val="24"/>
        </w:rPr>
        <w:t>Burkert’s discussion on Greek religious experience is also significant here. He shows that ecstatic religious experience can lead the individual to see or feel something that is beyond ordinary perception (Burkert, 1985, pp. 161–162). From this perspective, Pentheus’s problem is not merely his denial of Dionysus; his established perception is incapable of embracing the new religious reality.</w:t>
      </w:r>
    </w:p>
    <w:p w14:paraId="01FFA396" w14:textId="77777777" w:rsidR="00282D23" w:rsidRPr="00E86F03" w:rsidRDefault="00282D23" w:rsidP="00282D23">
      <w:pPr>
        <w:spacing w:after="120"/>
        <w:ind w:firstLine="0"/>
        <w:rPr>
          <w:color w:val="000000" w:themeColor="text1"/>
          <w:szCs w:val="24"/>
        </w:rPr>
      </w:pPr>
      <w:r w:rsidRPr="00E86F03">
        <w:rPr>
          <w:rFonts w:eastAsia="Times New Roman"/>
          <w:color w:val="000000" w:themeColor="text1"/>
          <w:szCs w:val="24"/>
        </w:rPr>
        <w:t>Eliade’s theory of myth offers an opportunity to understand this matter more comprehensively. Myth is a meaning-making structure linked to sacred reality and ritual experience (Eliade, 1963 , p. 139). Consequently, attempts to interpret Dionysus through the political category of Pentheus fail to fully capture that reality.</w:t>
      </w:r>
    </w:p>
    <w:p w14:paraId="47337288" w14:textId="77777777" w:rsidR="00282D23" w:rsidRPr="00E86F03" w:rsidRDefault="00282D23" w:rsidP="00282D23">
      <w:pPr>
        <w:spacing w:after="120"/>
        <w:ind w:firstLine="0"/>
        <w:rPr>
          <w:color w:val="000000" w:themeColor="text1"/>
          <w:szCs w:val="24"/>
        </w:rPr>
      </w:pPr>
      <w:r w:rsidRPr="00E86F03">
        <w:rPr>
          <w:rFonts w:eastAsia="Times New Roman"/>
          <w:color w:val="000000" w:themeColor="text1"/>
          <w:szCs w:val="24"/>
        </w:rPr>
        <w:t>Here a structural parallel can be drawn to Nguyen's concept of the echo chamber. Nguyen shows that alternative voices are not only absent in the echo chamber; their credibility may also be actively weakened (Nguyen, 2018, p. 4). Pentheus is not being cited as a direct example of a contemporary echo chamber. Rather, its position shows how the new evidence fails to change beliefs if the alternative interpretation is already identified as illegitimate.</w:t>
      </w:r>
    </w:p>
    <w:p w14:paraId="1BBD985D" w14:textId="77777777" w:rsidR="00282D23" w:rsidRPr="00E86F03" w:rsidRDefault="00282D23" w:rsidP="00282D23">
      <w:pPr>
        <w:spacing w:after="120"/>
        <w:ind w:firstLine="0"/>
        <w:rPr>
          <w:color w:val="000000" w:themeColor="text1"/>
          <w:szCs w:val="24"/>
        </w:rPr>
      </w:pPr>
      <w:r w:rsidRPr="00E86F03">
        <w:rPr>
          <w:rFonts w:eastAsia="Times New Roman"/>
          <w:color w:val="000000" w:themeColor="text1"/>
          <w:szCs w:val="24"/>
        </w:rPr>
        <w:t>Lewandowsky et al. (2012) show that belief and credibility judgment can reinforce each other. Distrusting a source does not modify its information; Again, prejudice can further diminish the credibility of that source. This reciprocal process can produce an “epistemic circularity” (Lewandowsky et al., 2012, p. 119). In the case of Pentheus, this modern concept is not being applied directly; however, a similar self-reinforcing structure can be observed.</w:t>
      </w:r>
    </w:p>
    <w:p w14:paraId="538AE0CE" w14:textId="77777777" w:rsidR="00282D23" w:rsidRPr="00E86F03" w:rsidRDefault="00282D23" w:rsidP="00282D23">
      <w:pPr>
        <w:spacing w:after="120"/>
        <w:ind w:firstLine="0"/>
        <w:rPr>
          <w:color w:val="000000" w:themeColor="text1"/>
          <w:szCs w:val="24"/>
        </w:rPr>
      </w:pPr>
      <w:r w:rsidRPr="00E86F03">
        <w:rPr>
          <w:rFonts w:eastAsia="Times New Roman"/>
          <w:color w:val="000000" w:themeColor="text1"/>
          <w:szCs w:val="24"/>
        </w:rPr>
        <w:t xml:space="preserve">As a result, Pentheus's epistemic failure is not limited to personal misunderstandings. His belief influences interpretation, takes the form of interpretation action, and ultimately produces tragic consequences. </w:t>
      </w:r>
    </w:p>
    <w:p w14:paraId="11DF2172" w14:textId="77777777" w:rsidR="00282D23" w:rsidRPr="00E86F03" w:rsidRDefault="00282D23" w:rsidP="00282D23">
      <w:pPr>
        <w:spacing w:after="120"/>
        <w:ind w:firstLine="0"/>
        <w:rPr>
          <w:color w:val="000000" w:themeColor="text1"/>
          <w:szCs w:val="24"/>
        </w:rPr>
      </w:pPr>
      <w:r w:rsidRPr="00E86F03">
        <w:rPr>
          <w:rFonts w:eastAsia="Times New Roman"/>
          <w:color w:val="000000" w:themeColor="text1"/>
          <w:szCs w:val="24"/>
        </w:rPr>
        <w:t xml:space="preserve">As a result, </w:t>
      </w:r>
      <w:r w:rsidRPr="00E86F03">
        <w:rPr>
          <w:rFonts w:eastAsia="Times New Roman"/>
          <w:i/>
          <w:iCs/>
          <w:color w:val="000000" w:themeColor="text1"/>
          <w:szCs w:val="24"/>
        </w:rPr>
        <w:t>The Bacchae</w:t>
      </w:r>
      <w:r w:rsidRPr="00E86F03">
        <w:rPr>
          <w:rFonts w:eastAsia="Times New Roman"/>
          <w:color w:val="000000" w:themeColor="text1"/>
          <w:szCs w:val="24"/>
        </w:rPr>
        <w:t xml:space="preserve"> makes particularly clear the correlation of beliefs, interpretations, authority, testimony, evidence, and consequences within the MEI framework; In particular, special emphasis is placed on how established beliefs affect the acceptance of knowledge that is disruptive or contrary to conventional ideas. </w:t>
      </w:r>
    </w:p>
    <w:p w14:paraId="3812C764" w14:textId="77777777" w:rsidR="00282D23" w:rsidRPr="00E86F03" w:rsidRDefault="00282D23" w:rsidP="00282D23">
      <w:pPr>
        <w:spacing w:after="120"/>
        <w:ind w:firstLine="0"/>
        <w:rPr>
          <w:color w:val="000000" w:themeColor="text1"/>
          <w:szCs w:val="24"/>
        </w:rPr>
      </w:pPr>
      <w:r w:rsidRPr="00E86F03">
        <w:rPr>
          <w:rFonts w:eastAsia="Times New Roman"/>
          <w:color w:val="000000" w:themeColor="text1"/>
          <w:szCs w:val="24"/>
        </w:rPr>
        <w:t xml:space="preserve">Thus, the four tragedies together present four distinct configurations: truth without credibility in </w:t>
      </w:r>
      <w:r w:rsidRPr="00E86F03">
        <w:rPr>
          <w:rFonts w:eastAsia="Times New Roman"/>
          <w:i/>
          <w:iCs/>
          <w:color w:val="000000" w:themeColor="text1"/>
          <w:szCs w:val="24"/>
        </w:rPr>
        <w:t>Agamemnon</w:t>
      </w:r>
      <w:r w:rsidRPr="00E86F03">
        <w:rPr>
          <w:rFonts w:eastAsia="Times New Roman"/>
          <w:color w:val="000000" w:themeColor="text1"/>
          <w:szCs w:val="24"/>
        </w:rPr>
        <w:t xml:space="preserve">, evidence without adequate interpretation in </w:t>
      </w:r>
      <w:r w:rsidRPr="00E86F03">
        <w:rPr>
          <w:rFonts w:eastAsia="Times New Roman"/>
          <w:i/>
          <w:color w:val="000000" w:themeColor="text1"/>
          <w:szCs w:val="24"/>
        </w:rPr>
        <w:t>Oedipus Tyrannus</w:t>
      </w:r>
      <w:r w:rsidRPr="00E86F03">
        <w:rPr>
          <w:rFonts w:eastAsia="Times New Roman"/>
          <w:color w:val="000000" w:themeColor="text1"/>
          <w:szCs w:val="24"/>
        </w:rPr>
        <w:t xml:space="preserve">, competing authorities in </w:t>
      </w:r>
      <w:r w:rsidRPr="00E86F03">
        <w:rPr>
          <w:rFonts w:eastAsia="Times New Roman"/>
          <w:i/>
          <w:iCs/>
          <w:color w:val="000000" w:themeColor="text1"/>
          <w:szCs w:val="24"/>
        </w:rPr>
        <w:t>Antigone</w:t>
      </w:r>
      <w:r w:rsidRPr="00E86F03">
        <w:rPr>
          <w:rFonts w:eastAsia="Times New Roman"/>
          <w:color w:val="000000" w:themeColor="text1"/>
          <w:szCs w:val="24"/>
        </w:rPr>
        <w:t xml:space="preserve">, and belief that closes itself against disruptive knowledge in </w:t>
      </w:r>
      <w:r w:rsidRPr="00E86F03">
        <w:rPr>
          <w:rFonts w:eastAsia="Times New Roman"/>
          <w:i/>
          <w:iCs/>
          <w:color w:val="000000" w:themeColor="text1"/>
          <w:szCs w:val="24"/>
        </w:rPr>
        <w:t>The Bacchae</w:t>
      </w:r>
      <w:r w:rsidRPr="00E86F03">
        <w:rPr>
          <w:rFonts w:eastAsia="Times New Roman"/>
          <w:color w:val="000000" w:themeColor="text1"/>
          <w:szCs w:val="24"/>
        </w:rPr>
        <w:t>. This comparative pattern constitutes the core analytical value of MEI.</w:t>
      </w:r>
    </w:p>
    <w:p w14:paraId="43780AEA" w14:textId="77777777" w:rsidR="00282D23" w:rsidRPr="00E86F03" w:rsidRDefault="00282D23" w:rsidP="00282D23">
      <w:pPr>
        <w:pStyle w:val="Heading2"/>
        <w:rPr>
          <w:color w:val="000000" w:themeColor="text1"/>
        </w:rPr>
      </w:pPr>
      <w:r>
        <w:rPr>
          <w:rFonts w:eastAsia="Times New Roman"/>
          <w:color w:val="000000"/>
        </w:rPr>
        <w:t>Comparative Synthesis</w:t>
      </w:r>
    </w:p>
    <w:p w14:paraId="6F4786B3" w14:textId="77777777" w:rsidR="00282D23" w:rsidRPr="00E86F03" w:rsidRDefault="00282D23" w:rsidP="00282D23">
      <w:pPr>
        <w:spacing w:after="120"/>
        <w:ind w:firstLine="0"/>
        <w:rPr>
          <w:color w:val="000000" w:themeColor="text1"/>
          <w:szCs w:val="24"/>
        </w:rPr>
      </w:pPr>
      <w:r w:rsidRPr="00E86F03">
        <w:rPr>
          <w:rFonts w:eastAsia="Times New Roman"/>
          <w:color w:val="000000" w:themeColor="text1"/>
          <w:szCs w:val="24"/>
        </w:rPr>
        <w:t xml:space="preserve">A comparative reading of the four tragedies reveals that the problem is not merely the presence or absence of information. The key question is how information becomes credible, </w:t>
      </w:r>
      <w:r w:rsidRPr="00E86F03">
        <w:rPr>
          <w:rFonts w:eastAsia="Times New Roman"/>
          <w:color w:val="000000" w:themeColor="text1"/>
          <w:szCs w:val="24"/>
        </w:rPr>
        <w:lastRenderedPageBreak/>
        <w:t xml:space="preserve">interpretable, authoritative and believable. </w:t>
      </w:r>
      <w:r w:rsidRPr="00E86F03">
        <w:rPr>
          <w:rFonts w:eastAsia="Times New Roman"/>
          <w:i/>
          <w:iCs/>
          <w:color w:val="000000" w:themeColor="text1"/>
          <w:szCs w:val="24"/>
        </w:rPr>
        <w:t>Agamemnon, Oedipus Tyrannus, Antigone</w:t>
      </w:r>
      <w:r w:rsidRPr="00E86F03">
        <w:rPr>
          <w:rFonts w:eastAsia="Times New Roman"/>
          <w:color w:val="000000" w:themeColor="text1"/>
          <w:szCs w:val="24"/>
        </w:rPr>
        <w:t xml:space="preserve"> and </w:t>
      </w:r>
      <w:r w:rsidRPr="00E86F03">
        <w:rPr>
          <w:rFonts w:eastAsia="Times New Roman"/>
          <w:i/>
          <w:iCs/>
          <w:color w:val="000000" w:themeColor="text1"/>
          <w:szCs w:val="24"/>
        </w:rPr>
        <w:t xml:space="preserve">The Bacchae </w:t>
      </w:r>
      <w:r w:rsidRPr="00E86F03">
        <w:rPr>
          <w:rFonts w:eastAsia="Times New Roman"/>
          <w:color w:val="000000" w:themeColor="text1"/>
          <w:szCs w:val="24"/>
        </w:rPr>
        <w:t>visualize this epistemic process in different ways. This pattern forms the basis for the comparative analysis of the next discussion section.</w:t>
      </w:r>
    </w:p>
    <w:p w14:paraId="26077D1C" w14:textId="77777777" w:rsidR="00282D23" w:rsidRPr="00E86F03" w:rsidRDefault="00282D23" w:rsidP="00282D23">
      <w:pPr>
        <w:pStyle w:val="Heading1"/>
        <w:rPr>
          <w:color w:val="000000" w:themeColor="text1"/>
          <w:szCs w:val="24"/>
        </w:rPr>
      </w:pPr>
      <w:r>
        <w:rPr>
          <w:rFonts w:eastAsia="Times New Roman"/>
          <w:color w:val="000000"/>
        </w:rPr>
        <w:t>Discussion</w:t>
      </w:r>
    </w:p>
    <w:p w14:paraId="08576D39" w14:textId="77777777" w:rsidR="00282D23" w:rsidRPr="00E86F03" w:rsidRDefault="00282D23" w:rsidP="00282D23">
      <w:pPr>
        <w:spacing w:after="120"/>
        <w:ind w:firstLine="0"/>
        <w:rPr>
          <w:color w:val="000000" w:themeColor="text1"/>
          <w:szCs w:val="24"/>
        </w:rPr>
      </w:pPr>
      <w:r w:rsidRPr="00E86F03">
        <w:rPr>
          <w:rFonts w:eastAsia="Times New Roman"/>
          <w:color w:val="000000" w:themeColor="text1"/>
          <w:szCs w:val="24"/>
        </w:rPr>
        <w:t xml:space="preserve">An analysis of the four tragedies reveals that, despite variations in the forms of epistemic failure, there is an underlying common structure. In </w:t>
      </w:r>
      <w:r w:rsidRPr="00E86F03">
        <w:rPr>
          <w:rFonts w:eastAsia="Times New Roman"/>
          <w:i/>
          <w:iCs/>
          <w:color w:val="000000" w:themeColor="text1"/>
          <w:szCs w:val="24"/>
        </w:rPr>
        <w:t>Agamemnon,</w:t>
      </w:r>
      <w:r w:rsidRPr="00E86F03">
        <w:rPr>
          <w:rFonts w:eastAsia="Times New Roman"/>
          <w:color w:val="000000" w:themeColor="text1"/>
          <w:szCs w:val="24"/>
        </w:rPr>
        <w:t xml:space="preserve"> the credibility of the person who knows the truth is denied; In </w:t>
      </w:r>
      <w:r w:rsidRPr="00E86F03">
        <w:rPr>
          <w:rFonts w:eastAsia="Times New Roman"/>
          <w:i/>
          <w:iCs/>
          <w:color w:val="000000" w:themeColor="text1"/>
          <w:szCs w:val="24"/>
        </w:rPr>
        <w:t>Oedipus Tyrannus</w:t>
      </w:r>
      <w:r w:rsidRPr="00E86F03">
        <w:rPr>
          <w:rFonts w:eastAsia="Times New Roman"/>
          <w:color w:val="000000" w:themeColor="text1"/>
          <w:szCs w:val="24"/>
        </w:rPr>
        <w:t xml:space="preserve">, the interpretation fails despite the evidence; In </w:t>
      </w:r>
      <w:r w:rsidRPr="00E86F03">
        <w:rPr>
          <w:rFonts w:eastAsia="Times New Roman"/>
          <w:i/>
          <w:iCs/>
          <w:color w:val="000000" w:themeColor="text1"/>
          <w:szCs w:val="24"/>
        </w:rPr>
        <w:t>Antigone</w:t>
      </w:r>
      <w:r w:rsidRPr="00E86F03">
        <w:rPr>
          <w:rFonts w:eastAsia="Times New Roman"/>
          <w:color w:val="000000" w:themeColor="text1"/>
          <w:szCs w:val="24"/>
        </w:rPr>
        <w:t xml:space="preserve">, competing authorities produce conflicting truth claims; And in </w:t>
      </w:r>
      <w:r w:rsidRPr="00E86F03">
        <w:rPr>
          <w:rFonts w:eastAsia="Times New Roman"/>
          <w:i/>
          <w:iCs/>
          <w:color w:val="000000" w:themeColor="text1"/>
          <w:szCs w:val="24"/>
        </w:rPr>
        <w:t>The Bacchae</w:t>
      </w:r>
      <w:r w:rsidRPr="00E86F03">
        <w:rPr>
          <w:rFonts w:eastAsia="Times New Roman"/>
          <w:color w:val="000000" w:themeColor="text1"/>
          <w:szCs w:val="24"/>
        </w:rPr>
        <w:t>, prior belief narrows the scope of acceptance of the opposite knowledge. As a result, knowledge is not created from the presence of information alone; It is socially effective through the interrelationship of authority, testimony, evidence, interpretation, and belief.</w:t>
      </w:r>
    </w:p>
    <w:p w14:paraId="1D05D337" w14:textId="77777777" w:rsidR="00282D23" w:rsidRPr="00E86F03" w:rsidRDefault="00282D23" w:rsidP="00282D23">
      <w:pPr>
        <w:pStyle w:val="Heading2"/>
        <w:rPr>
          <w:color w:val="000000" w:themeColor="text1"/>
        </w:rPr>
      </w:pPr>
      <w:r>
        <w:rPr>
          <w:rFonts w:eastAsia="Times New Roman"/>
          <w:color w:val="000000"/>
        </w:rPr>
        <w:t>What MEI Reveals Anew</w:t>
      </w:r>
    </w:p>
    <w:p w14:paraId="03849E9B" w14:textId="77777777" w:rsidR="00282D23" w:rsidRPr="00E86F03" w:rsidRDefault="00282D23" w:rsidP="00282D23">
      <w:pPr>
        <w:spacing w:after="120"/>
        <w:ind w:firstLine="0"/>
        <w:rPr>
          <w:color w:val="000000" w:themeColor="text1"/>
          <w:szCs w:val="24"/>
        </w:rPr>
      </w:pPr>
      <w:r w:rsidRPr="00E86F03">
        <w:rPr>
          <w:rFonts w:eastAsia="Times New Roman"/>
          <w:color w:val="000000" w:themeColor="text1"/>
          <w:szCs w:val="24"/>
        </w:rPr>
        <w:t xml:space="preserve">The main contribution of MEI is to place these individual epistemic events in a comparative analytical sequence. </w:t>
      </w:r>
      <w:r w:rsidRPr="00E86F03">
        <w:rPr>
          <w:rFonts w:eastAsia="Times New Roman"/>
          <w:i/>
          <w:iCs/>
          <w:color w:val="000000" w:themeColor="text1"/>
          <w:szCs w:val="24"/>
        </w:rPr>
        <w:t>Agamemnon</w:t>
      </w:r>
      <w:r w:rsidRPr="00E86F03">
        <w:rPr>
          <w:rFonts w:eastAsia="Times New Roman"/>
          <w:color w:val="000000" w:themeColor="text1"/>
          <w:szCs w:val="24"/>
        </w:rPr>
        <w:t xml:space="preserve"> makes the closure of credibility, </w:t>
      </w:r>
      <w:r w:rsidRPr="00E86F03">
        <w:rPr>
          <w:rFonts w:eastAsia="Times New Roman"/>
          <w:i/>
          <w:iCs/>
          <w:color w:val="000000" w:themeColor="text1"/>
          <w:szCs w:val="24"/>
        </w:rPr>
        <w:t xml:space="preserve">Oedipus Tyrannus </w:t>
      </w:r>
      <w:r w:rsidRPr="00E86F03">
        <w:rPr>
          <w:rFonts w:eastAsia="Times New Roman"/>
          <w:color w:val="000000" w:themeColor="text1"/>
          <w:szCs w:val="24"/>
        </w:rPr>
        <w:t xml:space="preserve">interpretation, </w:t>
      </w:r>
      <w:r w:rsidRPr="00E86F03">
        <w:rPr>
          <w:rFonts w:eastAsia="Times New Roman"/>
          <w:i/>
          <w:iCs/>
          <w:color w:val="000000" w:themeColor="text1"/>
          <w:szCs w:val="24"/>
        </w:rPr>
        <w:t>Antigone</w:t>
      </w:r>
      <w:r w:rsidRPr="00E86F03">
        <w:rPr>
          <w:rFonts w:eastAsia="Times New Roman"/>
          <w:color w:val="000000" w:themeColor="text1"/>
          <w:szCs w:val="24"/>
        </w:rPr>
        <w:t xml:space="preserve"> authority, and </w:t>
      </w:r>
      <w:r w:rsidRPr="00E86F03">
        <w:rPr>
          <w:rFonts w:eastAsia="Times New Roman"/>
          <w:i/>
          <w:iCs/>
          <w:color w:val="000000" w:themeColor="text1"/>
          <w:szCs w:val="24"/>
        </w:rPr>
        <w:t>The Bacchae</w:t>
      </w:r>
      <w:r w:rsidRPr="00E86F03">
        <w:rPr>
          <w:rFonts w:eastAsia="Times New Roman"/>
          <w:color w:val="000000" w:themeColor="text1"/>
          <w:szCs w:val="24"/>
        </w:rPr>
        <w:t xml:space="preserve"> belief particularly visible. As a result, authority, testimony, evidence, interpretation, and belief are not separate categories; they are part of an interdependent epistemic process.</w:t>
      </w:r>
    </w:p>
    <w:p w14:paraId="11C54793" w14:textId="77777777" w:rsidR="00282D23" w:rsidRPr="00E86F03" w:rsidRDefault="00282D23" w:rsidP="00282D23">
      <w:pPr>
        <w:spacing w:after="120"/>
        <w:ind w:firstLine="0"/>
        <w:rPr>
          <w:color w:val="000000" w:themeColor="text1"/>
          <w:szCs w:val="24"/>
        </w:rPr>
      </w:pPr>
      <w:r w:rsidRPr="00E86F03">
        <w:rPr>
          <w:rFonts w:eastAsia="Times New Roman"/>
          <w:color w:val="000000" w:themeColor="text1"/>
          <w:szCs w:val="24"/>
        </w:rPr>
        <w:t xml:space="preserve">This pattern establishes a significant connection with social epistemology. Fricker (2007) demonstrated that the social distribution of credibility is not neutral regarding knowledge acquisition (pp. 1, 17); Medina (2022) further elaborates on this discussion by showing that marginalized populations may experience cognitive disability if their knowledge is not properly accepted or their collective cognitive abilities are weakened. Nguyen (2018, pp. 2, 5) has linked the echo chamber to cognitive isolation and the impairment of alternative voices. </w:t>
      </w:r>
      <w:r w:rsidRPr="00E86F03">
        <w:rPr>
          <w:rFonts w:eastAsia="Times New Roman"/>
          <w:b/>
          <w:color w:val="000000" w:themeColor="text1"/>
          <w:szCs w:val="24"/>
        </w:rPr>
        <w:t>Similarly, Edy et al. (2025) demonstrate how institutional formats systematically dictate who is granted the epistemic authority to represent reality.</w:t>
      </w:r>
    </w:p>
    <w:p w14:paraId="58578CC5" w14:textId="77777777" w:rsidR="00282D23" w:rsidRPr="00E86F03" w:rsidRDefault="00282D23" w:rsidP="00282D23">
      <w:pPr>
        <w:spacing w:after="120"/>
        <w:ind w:firstLine="0"/>
        <w:rPr>
          <w:color w:val="000000" w:themeColor="text1"/>
          <w:szCs w:val="24"/>
        </w:rPr>
      </w:pPr>
      <w:r w:rsidRPr="00E86F03">
        <w:rPr>
          <w:rFonts w:eastAsia="Times New Roman"/>
          <w:color w:val="000000" w:themeColor="text1"/>
          <w:szCs w:val="24"/>
        </w:rPr>
        <w:t>and Lewandowsky et al. (2012) discussed the reciprocal influence between beliefs and credibility judgments (p. 119). However, Greek tragedy renders these mechanisms visible not as abstract propositions, but through narrative conflict and tragic consequences.</w:t>
      </w:r>
    </w:p>
    <w:p w14:paraId="31C04E83" w14:textId="77777777" w:rsidR="00282D23" w:rsidRPr="00E86F03" w:rsidRDefault="00282D23" w:rsidP="00282D23">
      <w:pPr>
        <w:pStyle w:val="Heading2"/>
        <w:rPr>
          <w:color w:val="000000" w:themeColor="text1"/>
        </w:rPr>
      </w:pPr>
      <w:r>
        <w:rPr>
          <w:rFonts w:eastAsia="Times New Roman"/>
          <w:color w:val="000000"/>
        </w:rPr>
        <w:t>Why “Epistemic Infrastructure”?</w:t>
      </w:r>
    </w:p>
    <w:p w14:paraId="3990D57A" w14:textId="77777777" w:rsidR="00282D23" w:rsidRPr="00E86F03" w:rsidRDefault="00282D23" w:rsidP="00282D23">
      <w:pPr>
        <w:spacing w:after="120"/>
        <w:ind w:firstLine="0"/>
        <w:rPr>
          <w:color w:val="000000" w:themeColor="text1"/>
          <w:szCs w:val="24"/>
        </w:rPr>
      </w:pPr>
      <w:r w:rsidRPr="00E86F03">
        <w:rPr>
          <w:rFonts w:eastAsia="Times New Roman"/>
          <w:color w:val="000000" w:themeColor="text1"/>
          <w:szCs w:val="24"/>
        </w:rPr>
        <w:t>The “infrastructure” here is not a direct comparison of myth with a modern information network. Rather, it refers to the dramatic architecture in which it determines who speaks, who is trustworthy, what evidence is acceptable, how the evidence is interpreted, and what the consequences of epistemic judgment are produced (Edy et al., 2025). The definition of MEI is the structure through which authority, testimony, evidence, interpretation, belief, and consequences are organized into narratives.</w:t>
      </w:r>
    </w:p>
    <w:p w14:paraId="045A73A7" w14:textId="77777777" w:rsidR="00282D23" w:rsidRPr="00E86F03" w:rsidRDefault="00282D23" w:rsidP="00282D23">
      <w:pPr>
        <w:spacing w:after="120"/>
        <w:ind w:firstLine="0"/>
        <w:rPr>
          <w:color w:val="000000" w:themeColor="text1"/>
          <w:szCs w:val="24"/>
        </w:rPr>
      </w:pPr>
      <w:r w:rsidRPr="00E86F03">
        <w:rPr>
          <w:rFonts w:eastAsia="Times New Roman"/>
          <w:color w:val="000000" w:themeColor="text1"/>
          <w:szCs w:val="24"/>
        </w:rPr>
        <w:t>In this sense, Cassandra’s prophecy is not merely an isolated truth claim; its credibility, the response of the chorus, and the recognition of the audience together form an epistemic structure. Similarly, in the case of Oedipus, the relationship of investigation, testimony, partial evidence and recognition is important. As a result, MEI reimagines myth not only as a container of knowledge, but as a narrative structure for the circulation, evaluation, and validation of knowledge.</w:t>
      </w:r>
    </w:p>
    <w:p w14:paraId="1D138857" w14:textId="77777777" w:rsidR="00282D23" w:rsidRPr="00E86F03" w:rsidRDefault="00282D23" w:rsidP="00282D23">
      <w:pPr>
        <w:pStyle w:val="Heading2"/>
        <w:rPr>
          <w:color w:val="000000" w:themeColor="text1"/>
        </w:rPr>
      </w:pPr>
      <w:r>
        <w:rPr>
          <w:rFonts w:eastAsia="Times New Roman"/>
          <w:color w:val="000000"/>
        </w:rPr>
        <w:lastRenderedPageBreak/>
        <w:t>Relationship with Contemporary Information Disorder</w:t>
      </w:r>
    </w:p>
    <w:p w14:paraId="11622DB3" w14:textId="77777777" w:rsidR="00282D23" w:rsidRPr="00E86F03" w:rsidRDefault="00282D23" w:rsidP="00282D23">
      <w:pPr>
        <w:spacing w:after="120"/>
        <w:ind w:firstLine="0"/>
        <w:rPr>
          <w:color w:val="000000" w:themeColor="text1"/>
          <w:szCs w:val="24"/>
        </w:rPr>
      </w:pPr>
      <w:r w:rsidRPr="00E86F03">
        <w:rPr>
          <w:rFonts w:eastAsia="Times New Roman"/>
          <w:color w:val="000000" w:themeColor="text1"/>
          <w:szCs w:val="24"/>
        </w:rPr>
        <w:t>This framework does not claim Greek tragedy to be a direct historical precursor to contemporary misinformation. Its relevance lies at the level of epistemic mechanisms. Even in the current information environment, the admissibility of a claim depends not only on its factual accuracy; but also on the credibility of the source, authority, selective interpretation, and predetermined belief (Lewandowsky et al., 2012; Nguyen, 2018; Mang et al., 2024; Pfänder &amp; Altay, 2025). MEI establishes a conceptual bridge between the epistemic mechanisms of Greek tragedy with the separate discussions of misinformation, disinformation, post-truth, and belief formation in the research of information disorder. MEI therefore links the Greek tragedy to contemporary research on misinformation, intentional disinformation, post-truth, and belief formation.</w:t>
      </w:r>
    </w:p>
    <w:p w14:paraId="7E7FF96D" w14:textId="77777777" w:rsidR="00282D23" w:rsidRPr="00E86F03" w:rsidRDefault="00282D23" w:rsidP="00282D23">
      <w:pPr>
        <w:spacing w:after="120"/>
        <w:ind w:firstLine="0"/>
        <w:rPr>
          <w:color w:val="000000" w:themeColor="text1"/>
          <w:szCs w:val="24"/>
        </w:rPr>
      </w:pPr>
      <w:r w:rsidRPr="00E86F03">
        <w:rPr>
          <w:rFonts w:eastAsia="Times New Roman"/>
          <w:color w:val="000000" w:themeColor="text1"/>
          <w:szCs w:val="24"/>
        </w:rPr>
        <w:t>The four tragedies thus highlight a crucial distinction: epistemic failure is not always the result of false information. Sometimes the truth is spoken but the speaker is not believed; sometimes evidence exists but is misinterpreted; sometimes competing authorities clash over the legitimacy of the truth; and at other times, belief rejects contradictory evidence. This multidimensional pattern constitutes the core analytical value of MEI: myth can function as an epistemic infrastructure because narrative organizes not only what is known, but also how knowledge becomes credible, interpretable, believable, and consequential.</w:t>
      </w:r>
    </w:p>
    <w:p w14:paraId="0E90BCCB" w14:textId="77777777" w:rsidR="00282D23" w:rsidRPr="00E86F03" w:rsidRDefault="00282D23" w:rsidP="00282D23">
      <w:pPr>
        <w:pStyle w:val="Heading1"/>
        <w:rPr>
          <w:color w:val="000000" w:themeColor="text1"/>
          <w:szCs w:val="24"/>
        </w:rPr>
      </w:pPr>
      <w:r>
        <w:rPr>
          <w:rFonts w:eastAsia="Times New Roman"/>
          <w:color w:val="000000"/>
        </w:rPr>
        <w:t>Conclusion</w:t>
      </w:r>
    </w:p>
    <w:p w14:paraId="61A76454" w14:textId="77777777" w:rsidR="00282D23" w:rsidRPr="00E86F03" w:rsidRDefault="00282D23" w:rsidP="00282D23">
      <w:pPr>
        <w:spacing w:after="120"/>
        <w:ind w:firstLine="0"/>
        <w:rPr>
          <w:color w:val="000000" w:themeColor="text1"/>
          <w:szCs w:val="24"/>
        </w:rPr>
      </w:pPr>
      <w:r w:rsidRPr="00E86F03">
        <w:rPr>
          <w:rFonts w:eastAsia="Times New Roman"/>
          <w:color w:val="000000" w:themeColor="text1"/>
          <w:szCs w:val="24"/>
        </w:rPr>
        <w:t xml:space="preserve">Analysis of </w:t>
      </w:r>
      <w:r w:rsidRPr="00E86F03">
        <w:rPr>
          <w:rFonts w:eastAsia="Times New Roman"/>
          <w:i/>
          <w:iCs/>
          <w:color w:val="000000" w:themeColor="text1"/>
          <w:szCs w:val="24"/>
        </w:rPr>
        <w:t>Agamemnon</w:t>
      </w:r>
      <w:r w:rsidRPr="00E86F03">
        <w:rPr>
          <w:rFonts w:eastAsia="Times New Roman"/>
          <w:color w:val="000000" w:themeColor="text1"/>
          <w:szCs w:val="24"/>
        </w:rPr>
        <w:t xml:space="preserve">, </w:t>
      </w:r>
      <w:r w:rsidRPr="00E86F03">
        <w:rPr>
          <w:rFonts w:eastAsia="Times New Roman"/>
          <w:i/>
          <w:iCs/>
          <w:color w:val="000000" w:themeColor="text1"/>
          <w:szCs w:val="24"/>
        </w:rPr>
        <w:t>Oedipus Tyrannus, Antigone</w:t>
      </w:r>
      <w:r w:rsidRPr="00E86F03">
        <w:rPr>
          <w:rFonts w:eastAsia="Times New Roman"/>
          <w:color w:val="000000" w:themeColor="text1"/>
          <w:szCs w:val="24"/>
        </w:rPr>
        <w:t xml:space="preserve"> and </w:t>
      </w:r>
      <w:r w:rsidRPr="00E86F03">
        <w:rPr>
          <w:rFonts w:eastAsia="Times New Roman"/>
          <w:i/>
          <w:iCs/>
          <w:color w:val="000000" w:themeColor="text1"/>
          <w:szCs w:val="24"/>
        </w:rPr>
        <w:t>The Bacchae</w:t>
      </w:r>
      <w:r w:rsidRPr="00E86F03">
        <w:rPr>
          <w:rFonts w:eastAsia="Times New Roman"/>
          <w:color w:val="000000" w:themeColor="text1"/>
          <w:szCs w:val="24"/>
        </w:rPr>
        <w:t xml:space="preserve"> shows that the Greek mythic narrative has an important epistemological dimension. In these tragedies, credibility, evidence, authority, interpretation, and established beliefs are interrelated: Cassandra's testimony is rejected, Oedipus misinterprets the evidence, </w:t>
      </w:r>
      <w:r w:rsidRPr="00E86F03">
        <w:rPr>
          <w:rFonts w:eastAsia="Times New Roman"/>
          <w:i/>
          <w:color w:val="000000" w:themeColor="text1"/>
          <w:szCs w:val="24"/>
        </w:rPr>
        <w:t>Antigone</w:t>
      </w:r>
      <w:r w:rsidRPr="00E86F03">
        <w:rPr>
          <w:rFonts w:eastAsia="Times New Roman"/>
          <w:color w:val="000000" w:themeColor="text1"/>
          <w:szCs w:val="24"/>
        </w:rPr>
        <w:t>'s conflict of competing authority occurs, and Pentheus prevents anti-knowledge from entering into itself. These examples show that epistemological failures do not arise solely from false information; They can also arise from beliefs that deny true claims, misinterpretation of evidence, and limit the possibility of correction.</w:t>
      </w:r>
    </w:p>
    <w:p w14:paraId="6DC0C746" w14:textId="77777777" w:rsidR="00282D23" w:rsidRPr="00E86F03" w:rsidRDefault="00282D23" w:rsidP="00282D23">
      <w:pPr>
        <w:spacing w:after="120"/>
        <w:ind w:firstLine="0"/>
        <w:rPr>
          <w:color w:val="000000" w:themeColor="text1"/>
          <w:szCs w:val="24"/>
        </w:rPr>
      </w:pPr>
      <w:r w:rsidRPr="00E86F03">
        <w:rPr>
          <w:rFonts w:eastAsia="Times New Roman"/>
          <w:color w:val="000000" w:themeColor="text1"/>
          <w:szCs w:val="24"/>
        </w:rPr>
        <w:t>The concept of Myth as Epistemic Infrastructure (MEI) provides a framework for analyzing these relationships. It does not integrate or equate the ancient Greek narrative with modern information systems; rather, it shows how the narrative structures the processes by which society determines which knowledge is trustworthy, whose testimony is recognized, how evidence is interpreted, and when beliefs are maintained or changed. Therefore, the Greek tragedy is relevant in the discussion of contemporary information-disorder not because it foreshadowed modern problems, but because it visualizes the social and narrative conditions through which beliefs, doubts, and epistemological consequences are organized.</w:t>
      </w:r>
    </w:p>
    <w:p w14:paraId="17A9C3B1" w14:textId="77777777" w:rsidR="00282D23" w:rsidRDefault="00282D23" w:rsidP="00282D23">
      <w:pPr>
        <w:spacing w:after="120"/>
        <w:ind w:firstLine="0"/>
        <w:rPr>
          <w:rFonts w:eastAsia="Times New Roman"/>
          <w:color w:val="000000" w:themeColor="text1"/>
          <w:szCs w:val="24"/>
        </w:rPr>
      </w:pPr>
      <w:r w:rsidRPr="00E86F03">
        <w:rPr>
          <w:rFonts w:eastAsia="Times New Roman"/>
          <w:color w:val="000000" w:themeColor="text1"/>
          <w:szCs w:val="24"/>
        </w:rPr>
        <w:t>In practice, MEI proposes that media literacy and critical thinking education should not be limited to identifying false information, but should also focus on how credibility is determined, how evidence is accepted, and how conflicting claims are presented. Evaluating evidence, source location, authority, corroboration, and exclusion can help with more balanced credibility-determination. In the case of platform management, the MEI also indicates that the visibility and widespread dissemination of any information should not be equated with epistemological reliability.</w:t>
      </w:r>
    </w:p>
    <w:p w14:paraId="25DE27A5" w14:textId="77777777" w:rsidR="00282D23" w:rsidRPr="00E86F03" w:rsidRDefault="00282D23" w:rsidP="00282D23">
      <w:pPr>
        <w:spacing w:after="120"/>
        <w:ind w:firstLine="0"/>
        <w:rPr>
          <w:color w:val="000000" w:themeColor="text1"/>
          <w:szCs w:val="24"/>
        </w:rPr>
      </w:pPr>
    </w:p>
    <w:p w14:paraId="66C50922" w14:textId="77777777" w:rsidR="00282D23" w:rsidRPr="00E86F03" w:rsidRDefault="00282D23" w:rsidP="00282D23">
      <w:pPr>
        <w:pStyle w:val="Heading1"/>
        <w:numPr>
          <w:ilvl w:val="0"/>
          <w:numId w:val="0"/>
        </w:numPr>
        <w:ind w:left="432" w:hanging="432"/>
        <w:rPr>
          <w:color w:val="000000" w:themeColor="text1"/>
          <w:szCs w:val="24"/>
          <w:lang w:val="en-GB"/>
        </w:rPr>
      </w:pPr>
      <w:r>
        <w:rPr>
          <w:rFonts w:eastAsia="Times New Roman"/>
          <w:color w:val="000000"/>
        </w:rPr>
        <w:lastRenderedPageBreak/>
        <w:t>References</w:t>
      </w:r>
    </w:p>
    <w:p w14:paraId="2FFC4128" w14:textId="77777777" w:rsidR="00282D23" w:rsidRPr="00282D23" w:rsidRDefault="00282D23" w:rsidP="00282D23">
      <w:pPr>
        <w:pStyle w:val="NormalWeb"/>
        <w:spacing w:before="0" w:beforeAutospacing="0" w:after="120" w:afterAutospacing="0"/>
        <w:ind w:left="360" w:hanging="360"/>
        <w:jc w:val="both"/>
        <w:rPr>
          <w:color w:val="000000" w:themeColor="text1"/>
        </w:rPr>
      </w:pPr>
      <w:r w:rsidRPr="00282D23">
        <w:rPr>
          <w:color w:val="000000" w:themeColor="text1"/>
        </w:rPr>
        <w:t xml:space="preserve">Aeschylus. (2005). </w:t>
      </w:r>
      <w:r w:rsidRPr="00282D23">
        <w:rPr>
          <w:i/>
          <w:color w:val="000000" w:themeColor="text1"/>
        </w:rPr>
        <w:t>Agamemnon</w:t>
      </w:r>
      <w:r w:rsidRPr="00282D23">
        <w:rPr>
          <w:color w:val="000000" w:themeColor="text1"/>
        </w:rPr>
        <w:t xml:space="preserve"> (G. Theodoridis, Trans.). Poetry in Translation.</w:t>
      </w:r>
    </w:p>
    <w:p w14:paraId="7B5C7345" w14:textId="77777777" w:rsidR="00282D23" w:rsidRPr="00282D23" w:rsidRDefault="00282D23" w:rsidP="00282D23">
      <w:pPr>
        <w:pStyle w:val="NormalWeb"/>
        <w:spacing w:before="0" w:beforeAutospacing="0" w:after="120" w:afterAutospacing="0"/>
        <w:ind w:left="360" w:hanging="360"/>
        <w:jc w:val="both"/>
        <w:rPr>
          <w:color w:val="000000" w:themeColor="text1"/>
        </w:rPr>
      </w:pPr>
      <w:r w:rsidRPr="00282D23">
        <w:t xml:space="preserve">Aristotle. (1996). </w:t>
      </w:r>
      <w:r w:rsidRPr="00282D23">
        <w:rPr>
          <w:rStyle w:val="Emphasis"/>
        </w:rPr>
        <w:t>Poetics</w:t>
      </w:r>
      <w:r w:rsidRPr="00282D23">
        <w:t xml:space="preserve"> (M. Heath, Trans.). Penguin Books.</w:t>
      </w:r>
    </w:p>
    <w:p w14:paraId="24BF12CF" w14:textId="0D81EAFF" w:rsidR="00282D23" w:rsidRPr="00282D23" w:rsidRDefault="00282D23" w:rsidP="00282D23">
      <w:pPr>
        <w:pStyle w:val="NormalWeb"/>
        <w:spacing w:before="0" w:beforeAutospacing="0" w:after="120" w:afterAutospacing="0"/>
        <w:ind w:left="360" w:hanging="360"/>
        <w:jc w:val="both"/>
      </w:pPr>
      <w:r w:rsidRPr="00282D23">
        <w:t xml:space="preserve">Bruner, J. (1986). </w:t>
      </w:r>
      <w:proofErr w:type="gramStart"/>
      <w:r w:rsidRPr="00282D23">
        <w:rPr>
          <w:i/>
        </w:rPr>
        <w:t>Actual minds</w:t>
      </w:r>
      <w:proofErr w:type="gramEnd"/>
      <w:r w:rsidRPr="00282D23">
        <w:rPr>
          <w:i/>
        </w:rPr>
        <w:t>, possible worlds</w:t>
      </w:r>
      <w:r w:rsidRPr="00282D23">
        <w:t>. Harvard University Press.</w:t>
      </w:r>
      <w:r w:rsidRPr="00282D23">
        <w:t xml:space="preserve">  </w:t>
      </w:r>
      <w:hyperlink r:id="rId8" w:history="1">
        <w:r w:rsidRPr="00282D23">
          <w:rPr>
            <w:rStyle w:val="Hyperlink"/>
          </w:rPr>
          <w:t>https://doi.org/10.4159/9780674029019</w:t>
        </w:r>
      </w:hyperlink>
    </w:p>
    <w:p w14:paraId="514142AD" w14:textId="77777777" w:rsidR="00282D23" w:rsidRPr="00282D23" w:rsidRDefault="00282D23" w:rsidP="00282D23">
      <w:pPr>
        <w:pStyle w:val="NormalWeb"/>
        <w:spacing w:before="0" w:beforeAutospacing="0" w:after="120" w:afterAutospacing="0"/>
        <w:ind w:left="360" w:hanging="360"/>
        <w:jc w:val="both"/>
        <w:rPr>
          <w:color w:val="000000" w:themeColor="text1"/>
        </w:rPr>
      </w:pPr>
      <w:r w:rsidRPr="00282D23">
        <w:rPr>
          <w:color w:val="000000" w:themeColor="text1"/>
        </w:rPr>
        <w:t xml:space="preserve">Burkert, W. (1985). </w:t>
      </w:r>
      <w:r w:rsidRPr="00282D23">
        <w:rPr>
          <w:rStyle w:val="Emphasis"/>
          <w:rFonts w:eastAsiaTheme="majorEastAsia"/>
          <w:color w:val="000000" w:themeColor="text1"/>
        </w:rPr>
        <w:t>Greek religion</w:t>
      </w:r>
      <w:r w:rsidRPr="00282D23">
        <w:rPr>
          <w:color w:val="000000" w:themeColor="text1"/>
        </w:rPr>
        <w:t xml:space="preserve"> (J. Raffan, Trans.). Harvard University Press. </w:t>
      </w:r>
    </w:p>
    <w:p w14:paraId="4FA7B885" w14:textId="77777777" w:rsidR="00282D23" w:rsidRPr="00282D23" w:rsidRDefault="00282D23" w:rsidP="00282D23">
      <w:pPr>
        <w:pStyle w:val="NormalWeb"/>
        <w:spacing w:before="0" w:beforeAutospacing="0" w:after="120" w:afterAutospacing="0"/>
        <w:ind w:left="360" w:hanging="360"/>
        <w:jc w:val="both"/>
        <w:rPr>
          <w:color w:val="000000" w:themeColor="text1"/>
        </w:rPr>
      </w:pPr>
      <w:r w:rsidRPr="00282D23">
        <w:rPr>
          <w:color w:val="000000" w:themeColor="text1"/>
        </w:rPr>
        <w:t xml:space="preserve">Edy, J. A., Anderson, C., &amp; Tapia, M. H. (2025). News sources and the epistemic authority to represent reality: How journalism constructs an order of authorized knowers in local television news. </w:t>
      </w:r>
      <w:r w:rsidRPr="00282D23">
        <w:rPr>
          <w:rStyle w:val="Emphasis"/>
          <w:color w:val="000000" w:themeColor="text1"/>
        </w:rPr>
        <w:t>Journalism, 26</w:t>
      </w:r>
      <w:r w:rsidRPr="00282D23">
        <w:rPr>
          <w:color w:val="000000" w:themeColor="text1"/>
        </w:rPr>
        <w:t xml:space="preserve">(11), 2325–2344. </w:t>
      </w:r>
      <w:hyperlink r:id="rId9" w:history="1">
        <w:r w:rsidRPr="00282D23">
          <w:rPr>
            <w:rStyle w:val="Hyperlink"/>
          </w:rPr>
          <w:t>https://doi.org/10.1177/14648849241291727</w:t>
        </w:r>
      </w:hyperlink>
    </w:p>
    <w:p w14:paraId="705E9FB4" w14:textId="77777777" w:rsidR="00282D23" w:rsidRPr="00282D23" w:rsidRDefault="00282D23" w:rsidP="00282D23">
      <w:pPr>
        <w:pStyle w:val="NormalWeb"/>
        <w:spacing w:before="0" w:beforeAutospacing="0" w:after="120" w:afterAutospacing="0"/>
        <w:ind w:left="360" w:hanging="360"/>
        <w:jc w:val="both"/>
        <w:rPr>
          <w:color w:val="000000" w:themeColor="text1"/>
        </w:rPr>
      </w:pPr>
      <w:r w:rsidRPr="00282D23">
        <w:rPr>
          <w:color w:val="000000" w:themeColor="text1"/>
        </w:rPr>
        <w:t xml:space="preserve">Eliade, M. (1963). </w:t>
      </w:r>
      <w:r w:rsidRPr="00282D23">
        <w:rPr>
          <w:rStyle w:val="Emphasis"/>
          <w:rFonts w:eastAsiaTheme="majorEastAsia"/>
          <w:color w:val="000000" w:themeColor="text1"/>
        </w:rPr>
        <w:t>Myth and reality</w:t>
      </w:r>
      <w:r w:rsidRPr="00282D23">
        <w:rPr>
          <w:color w:val="000000" w:themeColor="text1"/>
        </w:rPr>
        <w:t xml:space="preserve"> (W. R. Trask, Trans.). Harper &amp; Row. </w:t>
      </w:r>
    </w:p>
    <w:p w14:paraId="7921B0FA" w14:textId="77777777" w:rsidR="00282D23" w:rsidRPr="00282D23" w:rsidRDefault="00282D23" w:rsidP="00282D23">
      <w:pPr>
        <w:pStyle w:val="NormalWeb"/>
        <w:spacing w:before="0" w:beforeAutospacing="0" w:after="120" w:afterAutospacing="0"/>
        <w:ind w:left="360" w:hanging="360"/>
        <w:jc w:val="both"/>
        <w:rPr>
          <w:color w:val="000000" w:themeColor="text1"/>
        </w:rPr>
      </w:pPr>
      <w:r w:rsidRPr="00282D23">
        <w:rPr>
          <w:color w:val="000000" w:themeColor="text1"/>
        </w:rPr>
        <w:t xml:space="preserve">Euripides. (2000). </w:t>
      </w:r>
      <w:r w:rsidRPr="00282D23">
        <w:rPr>
          <w:i/>
          <w:color w:val="000000" w:themeColor="text1"/>
        </w:rPr>
        <w:t>The Bacchae and other plays</w:t>
      </w:r>
      <w:r w:rsidRPr="00282D23">
        <w:rPr>
          <w:color w:val="000000" w:themeColor="text1"/>
        </w:rPr>
        <w:t xml:space="preserve"> (P. Vellacott, Trans.). Penguin Books.</w:t>
      </w:r>
      <w:r w:rsidRPr="00282D23">
        <w:rPr>
          <w:color w:val="000000" w:themeColor="text1"/>
        </w:rPr>
        <w:br/>
      </w:r>
      <w:hyperlink r:id="rId10" w:history="1">
        <w:r w:rsidRPr="00282D23">
          <w:rPr>
            <w:rStyle w:val="Hyperlink"/>
          </w:rPr>
          <w:t>https://doi.org/10.1093/oseo/instance.00185383</w:t>
        </w:r>
      </w:hyperlink>
    </w:p>
    <w:p w14:paraId="1C8F58F0" w14:textId="77777777" w:rsidR="00282D23" w:rsidRPr="00282D23" w:rsidRDefault="00282D23" w:rsidP="00282D23">
      <w:pPr>
        <w:pStyle w:val="NormalWeb"/>
        <w:spacing w:before="0" w:beforeAutospacing="0" w:after="120" w:afterAutospacing="0"/>
        <w:ind w:left="360" w:hanging="360"/>
        <w:jc w:val="both"/>
        <w:rPr>
          <w:color w:val="000000" w:themeColor="text1"/>
        </w:rPr>
      </w:pPr>
      <w:r w:rsidRPr="00282D23">
        <w:rPr>
          <w:color w:val="000000" w:themeColor="text1"/>
        </w:rPr>
        <w:t xml:space="preserve">Foucault, M. (1980). </w:t>
      </w:r>
      <w:r w:rsidRPr="00282D23">
        <w:rPr>
          <w:rStyle w:val="Emphasis"/>
          <w:rFonts w:eastAsiaTheme="majorEastAsia"/>
          <w:color w:val="000000" w:themeColor="text1"/>
        </w:rPr>
        <w:t>Power/knowledge: Selected interviews and other writings, 1972–1977</w:t>
      </w:r>
      <w:r w:rsidRPr="00282D23">
        <w:rPr>
          <w:color w:val="000000" w:themeColor="text1"/>
        </w:rPr>
        <w:t xml:space="preserve"> (C. Gordon, Ed. &amp; Trans.). Pantheon Books. </w:t>
      </w:r>
    </w:p>
    <w:p w14:paraId="4253BB3D" w14:textId="72CB546C" w:rsidR="00282D23" w:rsidRPr="00282D23" w:rsidRDefault="00282D23" w:rsidP="00282D23">
      <w:pPr>
        <w:pStyle w:val="NormalWeb"/>
        <w:spacing w:before="0" w:beforeAutospacing="0" w:after="120" w:afterAutospacing="0"/>
        <w:ind w:left="360" w:hanging="360"/>
        <w:jc w:val="both"/>
        <w:rPr>
          <w:color w:val="000000" w:themeColor="text1"/>
        </w:rPr>
      </w:pPr>
      <w:r w:rsidRPr="00282D23">
        <w:rPr>
          <w:color w:val="000000" w:themeColor="text1"/>
        </w:rPr>
        <w:t xml:space="preserve">Fricker, M. (2007). </w:t>
      </w:r>
      <w:r w:rsidRPr="00282D23">
        <w:rPr>
          <w:i/>
          <w:color w:val="000000" w:themeColor="text1"/>
        </w:rPr>
        <w:t>Epistemic injustice: Power and the ethics of knowing</w:t>
      </w:r>
      <w:r w:rsidRPr="00282D23">
        <w:rPr>
          <w:color w:val="000000" w:themeColor="text1"/>
        </w:rPr>
        <w:t>. Oxford University Press.</w:t>
      </w:r>
      <w:r w:rsidRPr="00282D23">
        <w:t xml:space="preserve"> </w:t>
      </w:r>
      <w:hyperlink r:id="rId11" w:history="1">
        <w:r w:rsidRPr="00282D23">
          <w:rPr>
            <w:rStyle w:val="Hyperlink"/>
          </w:rPr>
          <w:t>https://doi.org/10.1093/acprof:oso/9780198237907.001.0001</w:t>
        </w:r>
      </w:hyperlink>
    </w:p>
    <w:p w14:paraId="2142FB03" w14:textId="3FDE6313" w:rsidR="00282D23" w:rsidRPr="00282D23" w:rsidRDefault="00282D23" w:rsidP="00282D23">
      <w:pPr>
        <w:pStyle w:val="NormalWeb"/>
        <w:spacing w:before="0" w:beforeAutospacing="0" w:after="120" w:afterAutospacing="0"/>
        <w:ind w:left="360" w:hanging="360"/>
        <w:jc w:val="both"/>
        <w:rPr>
          <w:color w:val="000000" w:themeColor="text1"/>
        </w:rPr>
      </w:pPr>
      <w:proofErr w:type="spellStart"/>
      <w:r w:rsidRPr="00282D23">
        <w:rPr>
          <w:color w:val="000000" w:themeColor="text1"/>
        </w:rPr>
        <w:t>Garusi</w:t>
      </w:r>
      <w:proofErr w:type="spellEnd"/>
      <w:r w:rsidRPr="00282D23">
        <w:rPr>
          <w:color w:val="000000" w:themeColor="text1"/>
        </w:rPr>
        <w:t xml:space="preserve">, D., &amp; </w:t>
      </w:r>
      <w:proofErr w:type="spellStart"/>
      <w:r w:rsidRPr="00282D23">
        <w:rPr>
          <w:color w:val="000000" w:themeColor="text1"/>
        </w:rPr>
        <w:t>Splendore</w:t>
      </w:r>
      <w:proofErr w:type="spellEnd"/>
      <w:r w:rsidRPr="00282D23">
        <w:rPr>
          <w:color w:val="000000" w:themeColor="text1"/>
        </w:rPr>
        <w:t xml:space="preserve">, S. (2023). Advancing a qualitative turn in news media trust research. Sociology Compass, 17(4), e13075. </w:t>
      </w:r>
      <w:hyperlink r:id="rId12" w:history="1">
        <w:r w:rsidRPr="00282D23">
          <w:rPr>
            <w:rStyle w:val="Hyperlink"/>
          </w:rPr>
          <w:t>https://doi.org/10.1111/soc4.13075</w:t>
        </w:r>
      </w:hyperlink>
    </w:p>
    <w:p w14:paraId="21A4727D" w14:textId="77777777" w:rsidR="00282D23" w:rsidRPr="00282D23" w:rsidRDefault="00282D23" w:rsidP="00282D23">
      <w:pPr>
        <w:pStyle w:val="NormalWeb"/>
        <w:spacing w:before="0" w:beforeAutospacing="0" w:after="120" w:afterAutospacing="0"/>
        <w:ind w:left="360" w:hanging="360"/>
        <w:jc w:val="both"/>
        <w:rPr>
          <w:color w:val="000000" w:themeColor="text1"/>
        </w:rPr>
      </w:pPr>
      <w:r w:rsidRPr="00282D23">
        <w:rPr>
          <w:color w:val="000000" w:themeColor="text1"/>
        </w:rPr>
        <w:t xml:space="preserve">Goldman, A. I. (1999). </w:t>
      </w:r>
      <w:r w:rsidRPr="00282D23">
        <w:rPr>
          <w:rStyle w:val="Emphasis"/>
          <w:rFonts w:eastAsiaTheme="majorEastAsia"/>
          <w:color w:val="000000" w:themeColor="text1"/>
        </w:rPr>
        <w:t>Knowledge in a social world</w:t>
      </w:r>
      <w:r w:rsidRPr="00282D23">
        <w:rPr>
          <w:color w:val="000000" w:themeColor="text1"/>
        </w:rPr>
        <w:t>. Oxford University Press.</w:t>
      </w:r>
      <w:r w:rsidRPr="00282D23">
        <w:rPr>
          <w:color w:val="000000" w:themeColor="text1"/>
        </w:rPr>
        <w:br/>
      </w:r>
      <w:hyperlink r:id="rId13" w:history="1">
        <w:r w:rsidRPr="00282D23">
          <w:rPr>
            <w:rStyle w:val="Hyperlink"/>
          </w:rPr>
          <w:t>https://doi.org/10.1093/0198238207.001.0001</w:t>
        </w:r>
      </w:hyperlink>
    </w:p>
    <w:p w14:paraId="3CC8FB6E" w14:textId="77777777" w:rsidR="00282D23" w:rsidRPr="00282D23" w:rsidRDefault="00282D23" w:rsidP="00282D23">
      <w:pPr>
        <w:pStyle w:val="NormalWeb"/>
        <w:spacing w:before="0" w:beforeAutospacing="0" w:after="120" w:afterAutospacing="0"/>
        <w:ind w:left="360" w:hanging="360"/>
        <w:jc w:val="both"/>
        <w:rPr>
          <w:color w:val="000000" w:themeColor="text1"/>
        </w:rPr>
      </w:pPr>
      <w:r w:rsidRPr="00282D23">
        <w:rPr>
          <w:color w:val="000000" w:themeColor="text1"/>
        </w:rPr>
        <w:t xml:space="preserve">Gordon, C. (1980). Afterword. In M. Foucault, </w:t>
      </w:r>
      <w:r w:rsidRPr="00282D23">
        <w:rPr>
          <w:rStyle w:val="Emphasis"/>
          <w:rFonts w:eastAsiaTheme="majorEastAsia"/>
          <w:color w:val="000000" w:themeColor="text1"/>
        </w:rPr>
        <w:t>Power/knowledge: Selected interviews and other writings, 1972–1977</w:t>
      </w:r>
      <w:r w:rsidRPr="00282D23">
        <w:rPr>
          <w:color w:val="000000" w:themeColor="text1"/>
        </w:rPr>
        <w:t xml:space="preserve"> (pp. 229–260). Pantheon Books.</w:t>
      </w:r>
    </w:p>
    <w:p w14:paraId="05627285" w14:textId="77777777" w:rsidR="00282D23" w:rsidRPr="00282D23" w:rsidRDefault="00282D23" w:rsidP="00282D23">
      <w:pPr>
        <w:pStyle w:val="NormalWeb"/>
        <w:spacing w:before="0" w:beforeAutospacing="0" w:after="120" w:afterAutospacing="0"/>
        <w:ind w:left="360" w:hanging="360"/>
        <w:jc w:val="both"/>
        <w:rPr>
          <w:color w:val="000000" w:themeColor="text1"/>
        </w:rPr>
      </w:pPr>
      <w:r w:rsidRPr="00282D23">
        <w:rPr>
          <w:color w:val="000000" w:themeColor="text1"/>
        </w:rPr>
        <w:t xml:space="preserve">Lewandowsky, S., Ecker, U. K. H., Seifert, C. M., Schwarz, N., &amp; Cook, J. (2012). Misinformation and its correction: Continued influence and successful debiasing. Psychological Science in the Public Interest, 13(3), 106–131. </w:t>
      </w:r>
      <w:hyperlink r:id="rId14" w:history="1">
        <w:r w:rsidRPr="00282D23">
          <w:rPr>
            <w:rStyle w:val="Hyperlink"/>
          </w:rPr>
          <w:t>https://doi.org/10.1177/1529100612451018</w:t>
        </w:r>
      </w:hyperlink>
    </w:p>
    <w:p w14:paraId="2CD01DB4" w14:textId="77777777" w:rsidR="00282D23" w:rsidRPr="00282D23" w:rsidRDefault="00282D23" w:rsidP="00282D23">
      <w:pPr>
        <w:pStyle w:val="NormalWeb"/>
        <w:spacing w:before="0" w:beforeAutospacing="0" w:after="120" w:afterAutospacing="0"/>
        <w:ind w:left="360" w:hanging="360"/>
        <w:jc w:val="both"/>
        <w:rPr>
          <w:color w:val="000000" w:themeColor="text1"/>
        </w:rPr>
      </w:pPr>
      <w:r w:rsidRPr="00282D23">
        <w:rPr>
          <w:color w:val="000000" w:themeColor="text1"/>
        </w:rPr>
        <w:t xml:space="preserve">Lynch, M. P. (2004). True to life: Why truth matters. MIT Press. </w:t>
      </w:r>
      <w:hyperlink r:id="rId15" w:history="1">
        <w:r w:rsidRPr="00282D23">
          <w:rPr>
            <w:rStyle w:val="Hyperlink"/>
          </w:rPr>
          <w:t>https://doi.org/10.7551/mitpress/6919.001.0001</w:t>
        </w:r>
      </w:hyperlink>
    </w:p>
    <w:p w14:paraId="47103D82" w14:textId="77777777" w:rsidR="00282D23" w:rsidRPr="00282D23" w:rsidRDefault="00282D23" w:rsidP="00282D23">
      <w:pPr>
        <w:pStyle w:val="NormalWeb"/>
        <w:spacing w:before="0" w:beforeAutospacing="0" w:after="120" w:afterAutospacing="0"/>
        <w:ind w:left="360" w:hanging="360"/>
        <w:jc w:val="both"/>
        <w:rPr>
          <w:color w:val="000000" w:themeColor="text1"/>
        </w:rPr>
      </w:pPr>
      <w:r w:rsidRPr="00282D23">
        <w:rPr>
          <w:color w:val="000000" w:themeColor="text1"/>
        </w:rPr>
        <w:t xml:space="preserve">Mang, V., Fennis, B. M., &amp; </w:t>
      </w:r>
      <w:proofErr w:type="spellStart"/>
      <w:r w:rsidRPr="00282D23">
        <w:rPr>
          <w:color w:val="000000" w:themeColor="text1"/>
        </w:rPr>
        <w:t>Epstude</w:t>
      </w:r>
      <w:proofErr w:type="spellEnd"/>
      <w:r w:rsidRPr="00282D23">
        <w:rPr>
          <w:color w:val="000000" w:themeColor="text1"/>
        </w:rPr>
        <w:t xml:space="preserve">, K. (2024). Source credibility effects in misinformation research: A review and primer. </w:t>
      </w:r>
      <w:r w:rsidRPr="00282D23">
        <w:rPr>
          <w:rStyle w:val="Emphasis"/>
          <w:color w:val="000000" w:themeColor="text1"/>
        </w:rPr>
        <w:t>Advances in Psychology, 2</w:t>
      </w:r>
      <w:r w:rsidRPr="00282D23">
        <w:rPr>
          <w:color w:val="000000" w:themeColor="text1"/>
        </w:rPr>
        <w:t xml:space="preserve">(1), e443610. </w:t>
      </w:r>
      <w:r w:rsidRPr="00282D23">
        <w:rPr>
          <w:color w:val="000000" w:themeColor="text1"/>
        </w:rPr>
        <w:br/>
      </w:r>
      <w:hyperlink r:id="rId16" w:history="1">
        <w:r w:rsidRPr="00282D23">
          <w:rPr>
            <w:rStyle w:val="Hyperlink"/>
          </w:rPr>
          <w:t>https://doi.org/10.56296/aip00028</w:t>
        </w:r>
      </w:hyperlink>
    </w:p>
    <w:p w14:paraId="55148A21" w14:textId="77777777" w:rsidR="00282D23" w:rsidRPr="00282D23" w:rsidRDefault="00282D23" w:rsidP="00282D23">
      <w:pPr>
        <w:pStyle w:val="NormalWeb"/>
        <w:spacing w:before="0" w:beforeAutospacing="0" w:after="120" w:afterAutospacing="0"/>
        <w:ind w:left="360" w:hanging="360"/>
        <w:jc w:val="both"/>
        <w:rPr>
          <w:rStyle w:val="Hyperlink"/>
          <w:color w:val="000000" w:themeColor="text1"/>
        </w:rPr>
      </w:pPr>
      <w:r w:rsidRPr="00282D23">
        <w:rPr>
          <w:color w:val="000000" w:themeColor="text1"/>
        </w:rPr>
        <w:t xml:space="preserve">Medina, J. (2022). Group agential epistemic injustice: Epistemic disempowerment and critical defanging of group epistemic agency. </w:t>
      </w:r>
      <w:r w:rsidRPr="00282D23">
        <w:rPr>
          <w:rStyle w:val="Emphasis"/>
          <w:color w:val="000000" w:themeColor="text1"/>
        </w:rPr>
        <w:t>Philosophical Issues, 32</w:t>
      </w:r>
      <w:r w:rsidRPr="00282D23">
        <w:rPr>
          <w:color w:val="000000" w:themeColor="text1"/>
        </w:rPr>
        <w:t>(1), 320–334.</w:t>
      </w:r>
      <w:r w:rsidRPr="00282D23">
        <w:rPr>
          <w:color w:val="000000" w:themeColor="text1"/>
        </w:rPr>
        <w:br/>
      </w:r>
      <w:hyperlink r:id="rId17" w:history="1">
        <w:r w:rsidRPr="00282D23">
          <w:rPr>
            <w:rStyle w:val="Hyperlink"/>
          </w:rPr>
          <w:t>https://doi.org/10.1111/phis.12221</w:t>
        </w:r>
      </w:hyperlink>
    </w:p>
    <w:p w14:paraId="1003EF08" w14:textId="77777777" w:rsidR="00282D23" w:rsidRPr="00282D23" w:rsidRDefault="00282D23" w:rsidP="00282D23">
      <w:pPr>
        <w:pStyle w:val="NormalWeb"/>
        <w:spacing w:before="0" w:beforeAutospacing="0" w:after="120" w:afterAutospacing="0"/>
        <w:ind w:left="360" w:hanging="360"/>
        <w:jc w:val="both"/>
        <w:rPr>
          <w:color w:val="000000" w:themeColor="text1"/>
        </w:rPr>
      </w:pPr>
      <w:r w:rsidRPr="00282D23">
        <w:rPr>
          <w:color w:val="000000" w:themeColor="text1"/>
        </w:rPr>
        <w:t xml:space="preserve">Nguyen, C. T. (2018). Echo chambers and epistemic bubbles. Episteme, 1–21. </w:t>
      </w:r>
      <w:hyperlink r:id="rId18" w:history="1">
        <w:r w:rsidRPr="00282D23">
          <w:rPr>
            <w:rStyle w:val="Hyperlink"/>
          </w:rPr>
          <w:t>https://doi.org/10.1017/epi.2018.32</w:t>
        </w:r>
      </w:hyperlink>
    </w:p>
    <w:p w14:paraId="01F5AD9F" w14:textId="77777777" w:rsidR="00282D23" w:rsidRPr="00282D23" w:rsidRDefault="00282D23" w:rsidP="00282D23">
      <w:pPr>
        <w:pStyle w:val="NormalWeb"/>
        <w:spacing w:before="0" w:beforeAutospacing="0" w:after="120" w:afterAutospacing="0"/>
        <w:ind w:left="360" w:hanging="360"/>
        <w:jc w:val="both"/>
        <w:rPr>
          <w:color w:val="000000" w:themeColor="text1"/>
        </w:rPr>
      </w:pPr>
      <w:proofErr w:type="spellStart"/>
      <w:r w:rsidRPr="00282D23">
        <w:rPr>
          <w:color w:val="000000" w:themeColor="text1"/>
        </w:rPr>
        <w:t>Pfänder</w:t>
      </w:r>
      <w:proofErr w:type="spellEnd"/>
      <w:r w:rsidRPr="00282D23">
        <w:rPr>
          <w:color w:val="000000" w:themeColor="text1"/>
        </w:rPr>
        <w:t xml:space="preserve">, J., &amp; Altay, S. (2025). Spotting false news and doubting true news: A systematic review and meta-analysis of news judgements. </w:t>
      </w:r>
      <w:r w:rsidRPr="00282D23">
        <w:rPr>
          <w:rStyle w:val="Emphasis"/>
          <w:color w:val="000000" w:themeColor="text1"/>
        </w:rPr>
        <w:t xml:space="preserve">Nature Human </w:t>
      </w:r>
      <w:proofErr w:type="spellStart"/>
      <w:r w:rsidRPr="00282D23">
        <w:rPr>
          <w:rStyle w:val="Emphasis"/>
          <w:color w:val="000000" w:themeColor="text1"/>
        </w:rPr>
        <w:t>Behaviour</w:t>
      </w:r>
      <w:proofErr w:type="spellEnd"/>
      <w:r w:rsidRPr="00282D23">
        <w:rPr>
          <w:rStyle w:val="Emphasis"/>
          <w:color w:val="000000" w:themeColor="text1"/>
        </w:rPr>
        <w:t>, 9</w:t>
      </w:r>
      <w:r w:rsidRPr="00282D23">
        <w:rPr>
          <w:color w:val="000000" w:themeColor="text1"/>
        </w:rPr>
        <w:t xml:space="preserve">(4), 688–699. </w:t>
      </w:r>
      <w:hyperlink r:id="rId19" w:history="1">
        <w:r w:rsidRPr="00282D23">
          <w:rPr>
            <w:rStyle w:val="Hyperlink"/>
          </w:rPr>
          <w:t>https://doi.org/10.1038/s41562-024-02086-1</w:t>
        </w:r>
      </w:hyperlink>
    </w:p>
    <w:p w14:paraId="49126A94" w14:textId="28116F0F" w:rsidR="00282D23" w:rsidRPr="00282D23" w:rsidRDefault="00282D23" w:rsidP="00282D23">
      <w:pPr>
        <w:pStyle w:val="NormalWeb"/>
        <w:spacing w:before="0" w:beforeAutospacing="0" w:after="120" w:afterAutospacing="0"/>
        <w:ind w:left="360" w:hanging="360"/>
        <w:jc w:val="both"/>
      </w:pPr>
      <w:proofErr w:type="spellStart"/>
      <w:r w:rsidRPr="00282D23">
        <w:lastRenderedPageBreak/>
        <w:t>Ricoeur</w:t>
      </w:r>
      <w:proofErr w:type="spellEnd"/>
      <w:r w:rsidRPr="00282D23">
        <w:t xml:space="preserve">, P. (1984). </w:t>
      </w:r>
      <w:r w:rsidRPr="00282D23">
        <w:rPr>
          <w:i/>
          <w:iCs/>
        </w:rPr>
        <w:t>Time and narrative</w:t>
      </w:r>
      <w:r w:rsidRPr="00282D23">
        <w:t xml:space="preserve"> (K. McLaughlin &amp; D. Pellauer, Trans.; Vol. 1). University of Chicago Press. (Original work published 1983).</w:t>
      </w:r>
      <w:r w:rsidRPr="00282D23">
        <w:t xml:space="preserve"> </w:t>
      </w:r>
      <w:hyperlink r:id="rId20" w:tgtFrame="_blank" w:history="1">
        <w:r w:rsidRPr="00282D23">
          <w:rPr>
            <w:rStyle w:val="Hyperlink"/>
          </w:rPr>
          <w:t>https://doi.org/10.7208/chicago/9780226713519.001.0001</w:t>
        </w:r>
      </w:hyperlink>
    </w:p>
    <w:p w14:paraId="628F83FC" w14:textId="77777777" w:rsidR="00282D23" w:rsidRPr="00282D23" w:rsidRDefault="00282D23" w:rsidP="00282D23">
      <w:pPr>
        <w:pStyle w:val="NormalWeb"/>
        <w:spacing w:before="0" w:beforeAutospacing="0" w:after="120" w:afterAutospacing="0"/>
        <w:ind w:left="360" w:hanging="360"/>
        <w:jc w:val="both"/>
        <w:rPr>
          <w:color w:val="000000" w:themeColor="text1"/>
        </w:rPr>
      </w:pPr>
      <w:r w:rsidRPr="00282D23">
        <w:rPr>
          <w:color w:val="000000" w:themeColor="text1"/>
        </w:rPr>
        <w:t xml:space="preserve">Segal, C. (1981). </w:t>
      </w:r>
      <w:r w:rsidRPr="00282D23">
        <w:rPr>
          <w:rStyle w:val="Emphasis"/>
          <w:rFonts w:eastAsiaTheme="majorEastAsia"/>
          <w:color w:val="000000" w:themeColor="text1"/>
        </w:rPr>
        <w:t>Tragedy and civilization: An interpretation of Sophocles</w:t>
      </w:r>
      <w:r w:rsidRPr="00282D23">
        <w:rPr>
          <w:color w:val="000000" w:themeColor="text1"/>
        </w:rPr>
        <w:t>. Harvard University Press.</w:t>
      </w:r>
    </w:p>
    <w:p w14:paraId="36C751AF" w14:textId="77777777" w:rsidR="00282D23" w:rsidRPr="00282D23" w:rsidRDefault="00282D23" w:rsidP="00282D23">
      <w:pPr>
        <w:pStyle w:val="NormalWeb"/>
        <w:spacing w:before="0" w:beforeAutospacing="0" w:after="120" w:afterAutospacing="0"/>
        <w:ind w:left="360" w:hanging="360"/>
        <w:jc w:val="both"/>
        <w:rPr>
          <w:color w:val="000000" w:themeColor="text1"/>
        </w:rPr>
      </w:pPr>
      <w:r w:rsidRPr="00282D23">
        <w:rPr>
          <w:color w:val="000000" w:themeColor="text1"/>
        </w:rPr>
        <w:t xml:space="preserve">Sophocles. (1994). </w:t>
      </w:r>
      <w:r w:rsidRPr="00282D23">
        <w:rPr>
          <w:rStyle w:val="Emphasis"/>
          <w:rFonts w:eastAsiaTheme="majorEastAsia"/>
          <w:color w:val="000000" w:themeColor="text1"/>
        </w:rPr>
        <w:t>The three Theban plays: Antigone; Oedipus the King; Oedipus at Colonus</w:t>
      </w:r>
      <w:r w:rsidRPr="00282D23">
        <w:rPr>
          <w:color w:val="000000" w:themeColor="text1"/>
        </w:rPr>
        <w:t xml:space="preserve"> (R. Fagles, Trans.). Penguin Books.</w:t>
      </w:r>
    </w:p>
    <w:p w14:paraId="17957913" w14:textId="77777777" w:rsidR="00282D23" w:rsidRPr="00282D23" w:rsidRDefault="00282D23" w:rsidP="00282D23">
      <w:pPr>
        <w:pStyle w:val="NormalWeb"/>
        <w:spacing w:before="0" w:beforeAutospacing="0" w:after="120" w:afterAutospacing="0"/>
        <w:ind w:left="360" w:hanging="360"/>
        <w:jc w:val="both"/>
        <w:rPr>
          <w:color w:val="000000" w:themeColor="text1"/>
        </w:rPr>
      </w:pPr>
      <w:r w:rsidRPr="00282D23">
        <w:rPr>
          <w:color w:val="000000" w:themeColor="text1"/>
        </w:rPr>
        <w:t xml:space="preserve">Talbi, M. (2025). The epistemic import of narratives. Social Epistemology, 39(5), 477–495. </w:t>
      </w:r>
      <w:hyperlink r:id="rId21" w:history="1">
        <w:r w:rsidRPr="00282D23">
          <w:rPr>
            <w:rStyle w:val="Hyperlink"/>
          </w:rPr>
          <w:t>https://doi.org/10.1080/02691728.2024.2356518</w:t>
        </w:r>
      </w:hyperlink>
    </w:p>
    <w:p w14:paraId="5C5280DA" w14:textId="77777777" w:rsidR="00282D23" w:rsidRPr="00282D23" w:rsidRDefault="00282D23" w:rsidP="00282D23">
      <w:pPr>
        <w:pStyle w:val="NormalWeb"/>
        <w:spacing w:before="0" w:beforeAutospacing="0" w:after="120" w:afterAutospacing="0"/>
        <w:ind w:left="360" w:hanging="360"/>
        <w:jc w:val="both"/>
        <w:rPr>
          <w:color w:val="000000" w:themeColor="text1"/>
        </w:rPr>
      </w:pPr>
      <w:r w:rsidRPr="00282D23">
        <w:rPr>
          <w:color w:val="000000" w:themeColor="text1"/>
        </w:rPr>
        <w:t xml:space="preserve">Taplin, O. (1985). </w:t>
      </w:r>
      <w:r w:rsidRPr="00282D23">
        <w:rPr>
          <w:rStyle w:val="Emphasis"/>
          <w:rFonts w:eastAsiaTheme="majorEastAsia"/>
          <w:color w:val="000000" w:themeColor="text1"/>
        </w:rPr>
        <w:t>Greek tragedy in action</w:t>
      </w:r>
      <w:r w:rsidRPr="00282D23">
        <w:rPr>
          <w:color w:val="000000" w:themeColor="text1"/>
        </w:rPr>
        <w:t>. Methuen.</w:t>
      </w:r>
    </w:p>
    <w:p w14:paraId="642618D0" w14:textId="77777777" w:rsidR="00282D23" w:rsidRPr="00282D23" w:rsidRDefault="00282D23" w:rsidP="00282D23">
      <w:pPr>
        <w:pStyle w:val="NormalWeb"/>
        <w:spacing w:before="0" w:beforeAutospacing="0" w:after="120" w:afterAutospacing="0"/>
        <w:ind w:left="360" w:hanging="360"/>
        <w:jc w:val="both"/>
        <w:rPr>
          <w:color w:val="000000" w:themeColor="text1"/>
        </w:rPr>
      </w:pPr>
      <w:proofErr w:type="spellStart"/>
      <w:r w:rsidRPr="00282D23">
        <w:rPr>
          <w:color w:val="000000" w:themeColor="text1"/>
        </w:rPr>
        <w:t>Vernant</w:t>
      </w:r>
      <w:proofErr w:type="spellEnd"/>
      <w:r w:rsidRPr="00282D23">
        <w:rPr>
          <w:color w:val="000000" w:themeColor="text1"/>
        </w:rPr>
        <w:t xml:space="preserve">, J.-P., &amp; Vidal-Naquet, P. (1996). </w:t>
      </w:r>
      <w:r w:rsidRPr="00282D23">
        <w:rPr>
          <w:rStyle w:val="Emphasis"/>
          <w:rFonts w:eastAsiaTheme="majorEastAsia"/>
          <w:color w:val="000000" w:themeColor="text1"/>
        </w:rPr>
        <w:t>Myth and tragedy in ancient Greece</w:t>
      </w:r>
      <w:r w:rsidRPr="00282D23">
        <w:rPr>
          <w:color w:val="000000" w:themeColor="text1"/>
        </w:rPr>
        <w:t xml:space="preserve"> (J. Lloyd, Trans.). Zone Books.</w:t>
      </w:r>
    </w:p>
    <w:p w14:paraId="2CDC885B" w14:textId="0F2245C7" w:rsidR="007C30F0" w:rsidRPr="00282D23" w:rsidRDefault="007C30F0" w:rsidP="00282D23">
      <w:pPr>
        <w:autoSpaceDE/>
        <w:autoSpaceDN/>
        <w:spacing w:before="0" w:after="120"/>
        <w:ind w:left="360" w:hanging="360"/>
        <w:rPr>
          <w:rFonts w:eastAsia="Times New Roman"/>
          <w:color w:val="000000"/>
          <w:szCs w:val="22"/>
          <w:lang w:val="en-US" w:eastAsia="en-US"/>
        </w:rPr>
      </w:pPr>
    </w:p>
    <w:sectPr w:rsidR="007C30F0" w:rsidRPr="00282D23" w:rsidSect="00282D23">
      <w:headerReference w:type="default" r:id="rId22"/>
      <w:footerReference w:type="default" r:id="rId23"/>
      <w:headerReference w:type="first" r:id="rId24"/>
      <w:pgSz w:w="11907" w:h="16840" w:code="9"/>
      <w:pgMar w:top="1440" w:right="1440" w:bottom="1440" w:left="1440" w:header="454" w:footer="567" w:gutter="0"/>
      <w:pgNumType w:start="11"/>
      <w:cols w:space="709"/>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CF224A" w14:textId="77777777" w:rsidR="002B5C7E" w:rsidRDefault="002B5C7E">
      <w:r>
        <w:separator/>
      </w:r>
    </w:p>
  </w:endnote>
  <w:endnote w:type="continuationSeparator" w:id="0">
    <w:p w14:paraId="4065445C" w14:textId="77777777" w:rsidR="002B5C7E" w:rsidRDefault="002B5C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MingLiU">
    <w:panose1 w:val="02010601000101010101"/>
    <w:charset w:val="88"/>
    <w:family w:val="roman"/>
    <w:pitch w:val="variable"/>
    <w:sig w:usb0="A00002FF" w:usb1="28CFFCFA" w:usb2="00000016" w:usb3="00000000" w:csb0="001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5917145"/>
      <w:docPartObj>
        <w:docPartGallery w:val="Page Numbers (Bottom of Page)"/>
        <w:docPartUnique/>
      </w:docPartObj>
    </w:sdtPr>
    <w:sdtEndPr>
      <w:rPr>
        <w:noProof/>
      </w:rPr>
    </w:sdtEndPr>
    <w:sdtContent>
      <w:p w14:paraId="6C875C0F" w14:textId="21979A4C" w:rsidR="006362AF" w:rsidRDefault="00E12F95" w:rsidP="00E12F95">
        <w:pPr>
          <w:pStyle w:val="Footer"/>
          <w:ind w:firstLine="0"/>
          <w:jc w:val="center"/>
        </w:pPr>
        <w:r>
          <w:fldChar w:fldCharType="begin"/>
        </w:r>
        <w:r>
          <w:instrText xml:space="preserve"> PAGE   \* MERGEFORMAT </w:instrText>
        </w:r>
        <w:r>
          <w:fldChar w:fldCharType="separate"/>
        </w:r>
        <w:r w:rsidR="00111CBB">
          <w:rPr>
            <w:noProof/>
          </w:rPr>
          <w:t>4</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D09154" w14:textId="77777777" w:rsidR="002B5C7E" w:rsidRDefault="002B5C7E">
      <w:r>
        <w:separator/>
      </w:r>
    </w:p>
  </w:footnote>
  <w:footnote w:type="continuationSeparator" w:id="0">
    <w:p w14:paraId="7F3AFD9D" w14:textId="77777777" w:rsidR="002B5C7E" w:rsidRDefault="002B5C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072CB" w14:textId="178944F6" w:rsidR="00717760" w:rsidRPr="00E12F95" w:rsidRDefault="00282D23" w:rsidP="001F2F1A">
    <w:pPr>
      <w:pStyle w:val="Header"/>
      <w:spacing w:before="160"/>
      <w:ind w:firstLine="0"/>
      <w:jc w:val="center"/>
      <w:rPr>
        <w:rStyle w:val="Strong"/>
        <w:rFonts w:asciiTheme="majorBidi" w:hAnsiTheme="majorBidi" w:cstheme="majorBidi"/>
        <w:b w:val="0"/>
        <w:bCs w:val="0"/>
        <w:i/>
        <w:iCs/>
        <w:color w:val="000000" w:themeColor="text1"/>
        <w:shd w:val="clear" w:color="auto" w:fill="FFFFFF"/>
      </w:rPr>
    </w:pPr>
    <w:r w:rsidRPr="00282D23">
      <w:rPr>
        <w:rStyle w:val="Strong"/>
        <w:rFonts w:asciiTheme="majorBidi" w:hAnsiTheme="majorBidi" w:cstheme="majorBidi"/>
        <w:b w:val="0"/>
        <w:bCs w:val="0"/>
        <w:i/>
        <w:iCs/>
        <w:color w:val="000000" w:themeColor="text1"/>
        <w:shd w:val="clear" w:color="auto" w:fill="FFFFFF"/>
      </w:rPr>
      <w:t xml:space="preserve">Swarna </w:t>
    </w:r>
    <w:proofErr w:type="spellStart"/>
    <w:r w:rsidRPr="00282D23">
      <w:rPr>
        <w:rStyle w:val="Strong"/>
        <w:rFonts w:asciiTheme="majorBidi" w:hAnsiTheme="majorBidi" w:cstheme="majorBidi"/>
        <w:b w:val="0"/>
        <w:bCs w:val="0"/>
        <w:i/>
        <w:iCs/>
        <w:color w:val="000000" w:themeColor="text1"/>
        <w:shd w:val="clear" w:color="auto" w:fill="FFFFFF"/>
      </w:rPr>
      <w:t>Prova</w:t>
    </w:r>
    <w:proofErr w:type="spellEnd"/>
    <w:r w:rsidR="00835C3E">
      <w:rPr>
        <w:rStyle w:val="Strong"/>
        <w:rFonts w:asciiTheme="majorBidi" w:hAnsiTheme="majorBidi" w:cstheme="majorBidi" w:hint="cs"/>
        <w:b w:val="0"/>
        <w:bCs w:val="0"/>
        <w:i/>
        <w:iCs/>
        <w:color w:val="000000" w:themeColor="text1"/>
        <w:shd w:val="clear" w:color="auto" w:fill="FFFFFF"/>
        <w:rtl/>
      </w:rPr>
      <w:t xml:space="preserve"> </w:t>
    </w:r>
    <w:r w:rsidR="00E12F95" w:rsidRPr="00E12F95">
      <w:rPr>
        <w:rStyle w:val="Strong"/>
        <w:rFonts w:asciiTheme="majorBidi" w:hAnsiTheme="majorBidi" w:cstheme="majorBidi"/>
        <w:b w:val="0"/>
        <w:bCs w:val="0"/>
        <w:i/>
        <w:iCs/>
        <w:color w:val="000000" w:themeColor="text1"/>
        <w:shd w:val="clear" w:color="auto" w:fill="FFFFFF"/>
      </w:rPr>
      <w:t xml:space="preserve">/ </w:t>
    </w:r>
    <w:r w:rsidRPr="00282D23">
      <w:rPr>
        <w:rStyle w:val="Strong"/>
        <w:rFonts w:asciiTheme="majorBidi" w:hAnsiTheme="majorBidi" w:cstheme="majorBidi"/>
        <w:b w:val="0"/>
        <w:bCs w:val="0"/>
        <w:i/>
        <w:iCs/>
        <w:color w:val="000000" w:themeColor="text1"/>
        <w:shd w:val="clear" w:color="auto" w:fill="FFFFFF"/>
      </w:rPr>
      <w:t>Myth as Epistemic Infrastructure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638CB" w14:textId="77777777" w:rsidR="00E12F95" w:rsidRPr="00E12F95" w:rsidRDefault="00E12F95" w:rsidP="00E12F95">
    <w:pPr>
      <w:tabs>
        <w:tab w:val="center" w:pos="4536"/>
        <w:tab w:val="right" w:pos="9072"/>
      </w:tabs>
      <w:spacing w:before="0"/>
      <w:rPr>
        <w:rFonts w:eastAsia="Times New Roman"/>
        <w:sz w:val="22"/>
        <w:szCs w:val="22"/>
        <w:lang w:val="en-US"/>
      </w:rPr>
    </w:pPr>
  </w:p>
  <w:tbl>
    <w:tblPr>
      <w:tblStyle w:val="TableGrid1"/>
      <w:tblW w:w="10348" w:type="dxa"/>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7"/>
      <w:gridCol w:w="4111"/>
    </w:tblGrid>
    <w:tr w:rsidR="00E12F95" w:rsidRPr="00E12F95" w14:paraId="5E0111F3" w14:textId="77777777" w:rsidTr="00F248D2">
      <w:trPr>
        <w:jc w:val="center"/>
      </w:trPr>
      <w:tc>
        <w:tcPr>
          <w:tcW w:w="6237" w:type="dxa"/>
        </w:tcPr>
        <w:p w14:paraId="2F2D83E3" w14:textId="77777777" w:rsidR="00E12F95" w:rsidRPr="00E12F95" w:rsidRDefault="00E12F95" w:rsidP="00E12F95">
          <w:pPr>
            <w:adjustRightInd w:val="0"/>
            <w:spacing w:before="0"/>
            <w:ind w:firstLine="0"/>
            <w:jc w:val="left"/>
            <w:rPr>
              <w:sz w:val="18"/>
              <w:szCs w:val="18"/>
              <w:lang w:val="en-US"/>
            </w:rPr>
          </w:pPr>
        </w:p>
        <w:p w14:paraId="00296187" w14:textId="576982DF" w:rsidR="00E12F95" w:rsidRPr="00E12F95" w:rsidRDefault="00E12F95" w:rsidP="00E12F95">
          <w:pPr>
            <w:adjustRightInd w:val="0"/>
            <w:spacing w:before="0"/>
            <w:ind w:firstLine="0"/>
            <w:jc w:val="left"/>
            <w:rPr>
              <w:sz w:val="18"/>
              <w:szCs w:val="18"/>
              <w:lang w:val="en-US"/>
            </w:rPr>
          </w:pPr>
          <w:r w:rsidRPr="00E12F95">
            <w:rPr>
              <w:sz w:val="18"/>
              <w:szCs w:val="18"/>
              <w:lang w:val="en-US"/>
            </w:rPr>
            <w:t>*Corresponding Author’</w:t>
          </w:r>
          <w:r>
            <w:rPr>
              <w:sz w:val="18"/>
              <w:szCs w:val="18"/>
              <w:lang w:val="en-US"/>
            </w:rPr>
            <w:t>s</w:t>
          </w:r>
          <w:r w:rsidRPr="00E12F95">
            <w:rPr>
              <w:sz w:val="18"/>
              <w:szCs w:val="18"/>
              <w:lang w:val="en-US"/>
            </w:rPr>
            <w:t xml:space="preserve"> Email:</w:t>
          </w:r>
          <w:r w:rsidR="004227B2">
            <w:rPr>
              <w:sz w:val="18"/>
              <w:szCs w:val="18"/>
              <w:lang w:val="en-US"/>
            </w:rPr>
            <w:t xml:space="preserve"> </w:t>
          </w:r>
          <w:r w:rsidR="00320327" w:rsidRPr="00320327">
            <w:rPr>
              <w:sz w:val="18"/>
              <w:szCs w:val="18"/>
              <w:lang w:val="en-US"/>
            </w:rPr>
            <w:t>derek.alan.barker@gmail.com</w:t>
          </w:r>
        </w:p>
        <w:p w14:paraId="4E8F2526" w14:textId="05FB3277" w:rsidR="00E12F95" w:rsidRPr="00E12F95" w:rsidRDefault="00E12F95" w:rsidP="00E12F95">
          <w:pPr>
            <w:tabs>
              <w:tab w:val="center" w:pos="4536"/>
              <w:tab w:val="right" w:pos="9072"/>
            </w:tabs>
            <w:spacing w:before="0"/>
            <w:ind w:firstLine="0"/>
            <w:jc w:val="left"/>
            <w:rPr>
              <w:sz w:val="18"/>
              <w:szCs w:val="18"/>
              <w:lang w:val="en-US"/>
            </w:rPr>
          </w:pPr>
          <w:r w:rsidRPr="00E12F95">
            <w:rPr>
              <w:sz w:val="18"/>
              <w:szCs w:val="18"/>
              <w:lang w:val="en-US"/>
            </w:rPr>
            <w:t xml:space="preserve">Proceedings of the International Conference on New Trends in Social Sciences Vol. </w:t>
          </w:r>
          <w:r w:rsidR="004B52F5">
            <w:rPr>
              <w:sz w:val="18"/>
              <w:szCs w:val="18"/>
              <w:lang w:val="en-US"/>
            </w:rPr>
            <w:t>4</w:t>
          </w:r>
          <w:r w:rsidRPr="00E12F95">
            <w:rPr>
              <w:sz w:val="18"/>
              <w:szCs w:val="18"/>
              <w:lang w:val="en-US"/>
            </w:rPr>
            <w:t xml:space="preserve">, Issue. </w:t>
          </w:r>
          <w:r w:rsidR="00320327">
            <w:rPr>
              <w:sz w:val="18"/>
              <w:szCs w:val="18"/>
              <w:lang w:val="en-US"/>
            </w:rPr>
            <w:t>2</w:t>
          </w:r>
          <w:r w:rsidRPr="00E12F95">
            <w:rPr>
              <w:sz w:val="18"/>
              <w:szCs w:val="18"/>
              <w:lang w:val="en-US"/>
            </w:rPr>
            <w:t>, 202</w:t>
          </w:r>
          <w:r w:rsidR="004B52F5">
            <w:rPr>
              <w:sz w:val="18"/>
              <w:szCs w:val="18"/>
              <w:lang w:val="en-US"/>
            </w:rPr>
            <w:t>6</w:t>
          </w:r>
          <w:r w:rsidRPr="00E12F95">
            <w:rPr>
              <w:sz w:val="18"/>
              <w:szCs w:val="18"/>
              <w:lang w:val="en-US"/>
            </w:rPr>
            <w:t xml:space="preserve">, pp. </w:t>
          </w:r>
          <w:r w:rsidR="00282D23">
            <w:rPr>
              <w:sz w:val="18"/>
              <w:szCs w:val="18"/>
              <w:lang w:val="en-US"/>
            </w:rPr>
            <w:t>11</w:t>
          </w:r>
          <w:r w:rsidRPr="00E12F95">
            <w:rPr>
              <w:sz w:val="18"/>
              <w:szCs w:val="18"/>
              <w:lang w:val="en-US"/>
            </w:rPr>
            <w:t>-</w:t>
          </w:r>
          <w:r w:rsidR="00282D23">
            <w:rPr>
              <w:sz w:val="18"/>
              <w:szCs w:val="18"/>
              <w:lang w:val="en-US"/>
            </w:rPr>
            <w:t>22</w:t>
          </w:r>
        </w:p>
        <w:p w14:paraId="649109FB" w14:textId="1C9E07BA" w:rsidR="00E12F95" w:rsidRPr="00E12F95" w:rsidRDefault="00E12F95" w:rsidP="00E12F95">
          <w:pPr>
            <w:tabs>
              <w:tab w:val="center" w:pos="4536"/>
              <w:tab w:val="right" w:pos="9072"/>
            </w:tabs>
            <w:spacing w:before="0"/>
            <w:ind w:firstLine="0"/>
            <w:jc w:val="left"/>
            <w:rPr>
              <w:sz w:val="18"/>
              <w:szCs w:val="18"/>
              <w:lang w:val="en-US"/>
            </w:rPr>
          </w:pPr>
          <w:r w:rsidRPr="00E12F95">
            <w:rPr>
              <w:sz w:val="18"/>
              <w:szCs w:val="18"/>
              <w:lang w:val="en-US"/>
            </w:rPr>
            <w:t xml:space="preserve">DOI: </w:t>
          </w:r>
          <w:hyperlink r:id="rId1" w:history="1">
            <w:r w:rsidR="00282D23" w:rsidRPr="00E511D7">
              <w:rPr>
                <w:rStyle w:val="Hyperlink"/>
                <w:sz w:val="18"/>
                <w:szCs w:val="18"/>
                <w:lang w:val="en-US"/>
              </w:rPr>
              <w:t>https://doi.org/10.33422/ntssconf.v4i2.2</w:t>
            </w:r>
            <w:r w:rsidR="00282D23" w:rsidRPr="00E511D7">
              <w:rPr>
                <w:rStyle w:val="Hyperlink"/>
                <w:sz w:val="18"/>
                <w:szCs w:val="18"/>
              </w:rPr>
              <w:t>209</w:t>
            </w:r>
            <w:r w:rsidR="00282D23" w:rsidRPr="00E511D7">
              <w:rPr>
                <w:rStyle w:val="Hyperlink"/>
                <w:sz w:val="18"/>
                <w:szCs w:val="18"/>
                <w:lang w:val="en-US"/>
              </w:rPr>
              <w:t xml:space="preserve"> </w:t>
            </w:r>
          </w:hyperlink>
        </w:p>
        <w:p w14:paraId="2B38CEFB" w14:textId="2B45CF61" w:rsidR="00E12F95" w:rsidRPr="00E12F95" w:rsidRDefault="00E12F95" w:rsidP="00E12F95">
          <w:pPr>
            <w:tabs>
              <w:tab w:val="center" w:pos="4536"/>
              <w:tab w:val="right" w:pos="9072"/>
            </w:tabs>
            <w:spacing w:before="0"/>
            <w:ind w:firstLine="0"/>
            <w:jc w:val="left"/>
            <w:rPr>
              <w:sz w:val="18"/>
              <w:szCs w:val="18"/>
              <w:lang w:val="en-US"/>
            </w:rPr>
          </w:pPr>
          <w:r w:rsidRPr="00E12F95">
            <w:rPr>
              <w:sz w:val="18"/>
              <w:szCs w:val="18"/>
              <w:lang w:val="en-US"/>
            </w:rPr>
            <w:t>Copyright © 202</w:t>
          </w:r>
          <w:r w:rsidR="004B52F5">
            <w:rPr>
              <w:sz w:val="18"/>
              <w:szCs w:val="18"/>
              <w:lang w:val="en-US"/>
            </w:rPr>
            <w:t>6</w:t>
          </w:r>
          <w:r w:rsidRPr="00E12F95">
            <w:rPr>
              <w:sz w:val="18"/>
              <w:szCs w:val="18"/>
              <w:lang w:val="en-US"/>
            </w:rPr>
            <w:t xml:space="preserve"> Author(s) </w:t>
          </w:r>
        </w:p>
        <w:p w14:paraId="3D694322" w14:textId="77777777" w:rsidR="00E12F95" w:rsidRPr="00E12F95" w:rsidRDefault="00E12F95" w:rsidP="00E12F95">
          <w:pPr>
            <w:tabs>
              <w:tab w:val="center" w:pos="4536"/>
              <w:tab w:val="right" w:pos="9072"/>
            </w:tabs>
            <w:spacing w:before="0"/>
            <w:ind w:firstLine="0"/>
            <w:jc w:val="left"/>
            <w:rPr>
              <w:sz w:val="18"/>
              <w:szCs w:val="18"/>
              <w:lang w:val="en-US"/>
            </w:rPr>
          </w:pPr>
          <w:r w:rsidRPr="00E12F95">
            <w:rPr>
              <w:sz w:val="18"/>
              <w:szCs w:val="18"/>
              <w:lang w:val="en-US"/>
            </w:rPr>
            <w:t>ISSN: 3030-0185 online</w:t>
          </w:r>
        </w:p>
        <w:p w14:paraId="0A4141ED" w14:textId="77777777" w:rsidR="00E12F95" w:rsidRPr="00E12F95" w:rsidRDefault="00E12F95" w:rsidP="00E12F95">
          <w:pPr>
            <w:tabs>
              <w:tab w:val="center" w:pos="4536"/>
              <w:tab w:val="right" w:pos="9072"/>
            </w:tabs>
            <w:spacing w:before="0"/>
            <w:ind w:firstLine="0"/>
            <w:jc w:val="left"/>
            <w:rPr>
              <w:sz w:val="18"/>
              <w:szCs w:val="18"/>
              <w:lang w:val="en-US"/>
            </w:rPr>
          </w:pPr>
          <w:r w:rsidRPr="00E12F95">
            <w:rPr>
              <w:noProof/>
              <w:color w:val="0000FF"/>
              <w:sz w:val="20"/>
              <w:lang w:val="en-US" w:eastAsia="en-US"/>
            </w:rPr>
            <w:drawing>
              <wp:inline distT="0" distB="0" distL="0" distR="0" wp14:anchorId="5770C7E2" wp14:editId="1CB111DB">
                <wp:extent cx="556260" cy="198120"/>
                <wp:effectExtent l="0" t="0" r="0" b="0"/>
                <wp:docPr id="1" name="Picture 1" descr="Creative Commons License">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ative Commons License">
                          <a:hlinkClick r:id="rId2"/>
                        </pic:cNvPr>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56260" cy="198120"/>
                        </a:xfrm>
                        <a:prstGeom prst="rect">
                          <a:avLst/>
                        </a:prstGeom>
                        <a:noFill/>
                        <a:ln>
                          <a:noFill/>
                        </a:ln>
                      </pic:spPr>
                    </pic:pic>
                  </a:graphicData>
                </a:graphic>
              </wp:inline>
            </w:drawing>
          </w:r>
        </w:p>
      </w:tc>
      <w:tc>
        <w:tcPr>
          <w:tcW w:w="4111" w:type="dxa"/>
          <w:hideMark/>
        </w:tcPr>
        <w:p w14:paraId="048ADB05" w14:textId="77777777" w:rsidR="00E12F95" w:rsidRPr="00E12F95" w:rsidRDefault="00E12F95" w:rsidP="00E12F95">
          <w:pPr>
            <w:tabs>
              <w:tab w:val="center" w:pos="4536"/>
              <w:tab w:val="right" w:pos="9072"/>
            </w:tabs>
            <w:spacing w:before="0"/>
            <w:ind w:firstLine="0"/>
            <w:jc w:val="right"/>
            <w:rPr>
              <w:sz w:val="20"/>
              <w:lang w:val="en-US"/>
            </w:rPr>
          </w:pPr>
          <w:r w:rsidRPr="00E12F95">
            <w:rPr>
              <w:noProof/>
              <w:sz w:val="20"/>
              <w:lang w:val="en-US" w:eastAsia="en-US"/>
            </w:rPr>
            <w:drawing>
              <wp:inline distT="0" distB="0" distL="0" distR="0" wp14:anchorId="5006AF7C" wp14:editId="2B871957">
                <wp:extent cx="1440180" cy="7467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440180" cy="746760"/>
                        </a:xfrm>
                        <a:prstGeom prst="rect">
                          <a:avLst/>
                        </a:prstGeom>
                        <a:noFill/>
                        <a:ln>
                          <a:noFill/>
                        </a:ln>
                      </pic:spPr>
                    </pic:pic>
                  </a:graphicData>
                </a:graphic>
              </wp:inline>
            </w:drawing>
          </w:r>
        </w:p>
      </w:tc>
    </w:tr>
  </w:tbl>
  <w:p w14:paraId="6A1A8DE3" w14:textId="77777777" w:rsidR="00E12F95" w:rsidRPr="00E12F95" w:rsidRDefault="00E12F95" w:rsidP="00E12F95">
    <w:pPr>
      <w:tabs>
        <w:tab w:val="center" w:pos="4536"/>
        <w:tab w:val="right" w:pos="9072"/>
      </w:tabs>
      <w:spacing w:before="0"/>
      <w:ind w:firstLine="0"/>
      <w:rPr>
        <w:rFonts w:eastAsia="Times New Roman"/>
        <w:sz w:val="22"/>
        <w:szCs w:val="22"/>
        <w:lang w:val="en-US"/>
      </w:rPr>
    </w:pPr>
  </w:p>
  <w:p w14:paraId="17C22BE9" w14:textId="77777777" w:rsidR="00E12F95" w:rsidRPr="00E12F95" w:rsidRDefault="00E12F95" w:rsidP="00E12F95">
    <w:pPr>
      <w:tabs>
        <w:tab w:val="center" w:pos="4536"/>
        <w:tab w:val="right" w:pos="9072"/>
      </w:tabs>
      <w:ind w:firstLine="0"/>
      <w:rPr>
        <w:rFonts w:eastAsia="Times New Roman"/>
        <w:sz w:val="22"/>
        <w:szCs w:val="22"/>
        <w:lang w:val="en-US"/>
      </w:rPr>
    </w:pPr>
  </w:p>
  <w:p w14:paraId="0F1B5972" w14:textId="77777777" w:rsidR="00E12F95" w:rsidRPr="00E12F95" w:rsidRDefault="00E12F95" w:rsidP="00E12F95">
    <w:pPr>
      <w:tabs>
        <w:tab w:val="center" w:pos="4536"/>
        <w:tab w:val="right" w:pos="9072"/>
      </w:tabs>
      <w:ind w:firstLine="0"/>
      <w:rPr>
        <w:rFonts w:eastAsia="Times New Roman"/>
        <w:sz w:val="22"/>
        <w:szCs w:val="22"/>
        <w:lang w:val="en-US"/>
      </w:rPr>
    </w:pPr>
  </w:p>
  <w:p w14:paraId="0E249846" w14:textId="78E3EAA8" w:rsidR="00B2423A" w:rsidRPr="00E12F95" w:rsidRDefault="00B2423A" w:rsidP="00E12F95">
    <w:pPr>
      <w:pStyle w:val="Heade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5216ACEE"/>
    <w:lvl w:ilvl="0">
      <w:start w:val="1"/>
      <w:numFmt w:val="decimal"/>
      <w:lvlText w:val="%1."/>
      <w:lvlJc w:val="left"/>
      <w:pPr>
        <w:tabs>
          <w:tab w:val="num" w:pos="360"/>
        </w:tabs>
      </w:pPr>
    </w:lvl>
    <w:lvl w:ilvl="1">
      <w:start w:val="1"/>
      <w:numFmt w:val="decimal"/>
      <w:lvlText w:val="%1.%2"/>
      <w:lvlJc w:val="left"/>
      <w:pPr>
        <w:tabs>
          <w:tab w:val="num" w:pos="360"/>
        </w:tabs>
      </w:pPr>
    </w:lvl>
    <w:lvl w:ilvl="2">
      <w:start w:val="1"/>
      <w:numFmt w:val="decimal"/>
      <w:lvlText w:val="%1.%2.%3"/>
      <w:lvlJc w:val="left"/>
      <w:pPr>
        <w:tabs>
          <w:tab w:val="num" w:pos="0"/>
        </w:tabs>
      </w:pPr>
    </w:lvl>
    <w:lvl w:ilvl="3">
      <w:start w:val="1"/>
      <w:numFmt w:val="decimal"/>
      <w:lvlText w:val="%1.%2.%3.%4"/>
      <w:lvlJc w:val="left"/>
      <w:pPr>
        <w:tabs>
          <w:tab w:val="num" w:pos="0"/>
        </w:tabs>
      </w:pPr>
    </w:lvl>
    <w:lvl w:ilvl="4">
      <w:start w:val="1"/>
      <w:numFmt w:val="decimal"/>
      <w:lvlText w:val="%1.%2.%3.%4.%5"/>
      <w:lvlJc w:val="left"/>
      <w:pPr>
        <w:tabs>
          <w:tab w:val="num" w:pos="0"/>
        </w:tabs>
      </w:pPr>
    </w:lvl>
    <w:lvl w:ilvl="5">
      <w:start w:val="1"/>
      <w:numFmt w:val="decimal"/>
      <w:lvlText w:val="%1.%2.%3.%4.%5.%6"/>
      <w:lvlJc w:val="left"/>
      <w:pPr>
        <w:tabs>
          <w:tab w:val="num" w:pos="0"/>
        </w:tabs>
      </w:pPr>
    </w:lvl>
    <w:lvl w:ilvl="6">
      <w:start w:val="1"/>
      <w:numFmt w:val="decimal"/>
      <w:lvlText w:val="%1.%2.%3.%4.%5.%6.%7"/>
      <w:lvlJc w:val="left"/>
      <w:pPr>
        <w:tabs>
          <w:tab w:val="num" w:pos="0"/>
        </w:tabs>
      </w:pPr>
    </w:lvl>
    <w:lvl w:ilvl="7">
      <w:start w:val="1"/>
      <w:numFmt w:val="decimal"/>
      <w:lvlText w:val="%1.%2.%3.%4.%5.%6.%7.%8"/>
      <w:lvlJc w:val="left"/>
      <w:pPr>
        <w:tabs>
          <w:tab w:val="num" w:pos="0"/>
        </w:tabs>
      </w:pPr>
    </w:lvl>
    <w:lvl w:ilvl="8">
      <w:start w:val="1"/>
      <w:numFmt w:val="decimal"/>
      <w:lvlText w:val="%1.%2.%3.%4.%5.%6.%7.%8.%9"/>
      <w:lvlJc w:val="left"/>
      <w:pPr>
        <w:tabs>
          <w:tab w:val="num" w:pos="0"/>
        </w:tabs>
      </w:pPr>
    </w:lvl>
  </w:abstractNum>
  <w:abstractNum w:abstractNumId="1" w15:restartNumberingAfterBreak="0">
    <w:nsid w:val="041B3BAA"/>
    <w:multiLevelType w:val="multilevel"/>
    <w:tmpl w:val="041B3BAA"/>
    <w:lvl w:ilvl="0">
      <w:start w:val="1"/>
      <w:numFmt w:val="decimal"/>
      <w:lvlText w:val="[%1]"/>
      <w:lvlJc w:val="left"/>
      <w:pPr>
        <w:ind w:left="420" w:hanging="420"/>
      </w:pPr>
      <w:rPr>
        <w:rFonts w:ascii="Times New Roman" w:hint="default"/>
        <w:color w:val="000000"/>
        <w:u w:color="000000"/>
      </w:rPr>
    </w:lvl>
    <w:lvl w:ilvl="1">
      <w:start w:val="1"/>
      <w:numFmt w:val="lowerLetter"/>
      <w:lvlText w:val="%2)"/>
      <w:lvlJc w:val="left"/>
      <w:pPr>
        <w:ind w:left="840" w:hanging="420"/>
      </w:pPr>
      <w:rPr>
        <w:rFonts w:ascii="Times New Roman" w:hint="default"/>
      </w:rPr>
    </w:lvl>
    <w:lvl w:ilvl="2">
      <w:start w:val="1"/>
      <w:numFmt w:val="lowerRoman"/>
      <w:lvlText w:val="%3."/>
      <w:lvlJc w:val="right"/>
      <w:pPr>
        <w:ind w:left="1260" w:hanging="420"/>
      </w:pPr>
      <w:rPr>
        <w:rFonts w:ascii="Times New Roman" w:hint="default"/>
      </w:rPr>
    </w:lvl>
    <w:lvl w:ilvl="3">
      <w:start w:val="1"/>
      <w:numFmt w:val="decimal"/>
      <w:lvlText w:val="%4."/>
      <w:lvlJc w:val="left"/>
      <w:pPr>
        <w:ind w:left="1680" w:hanging="420"/>
      </w:pPr>
      <w:rPr>
        <w:rFonts w:ascii="Times New Roman" w:hint="default"/>
      </w:rPr>
    </w:lvl>
    <w:lvl w:ilvl="4">
      <w:start w:val="1"/>
      <w:numFmt w:val="lowerLetter"/>
      <w:lvlText w:val="%5)"/>
      <w:lvlJc w:val="left"/>
      <w:pPr>
        <w:ind w:left="2100" w:hanging="420"/>
      </w:pPr>
      <w:rPr>
        <w:rFonts w:ascii="Times New Roman" w:hint="default"/>
      </w:rPr>
    </w:lvl>
    <w:lvl w:ilvl="5">
      <w:start w:val="1"/>
      <w:numFmt w:val="lowerRoman"/>
      <w:lvlText w:val="%6."/>
      <w:lvlJc w:val="right"/>
      <w:pPr>
        <w:ind w:left="2520" w:hanging="420"/>
      </w:pPr>
      <w:rPr>
        <w:rFonts w:ascii="Times New Roman" w:hint="default"/>
      </w:rPr>
    </w:lvl>
    <w:lvl w:ilvl="6">
      <w:start w:val="1"/>
      <w:numFmt w:val="decimal"/>
      <w:lvlText w:val="%7."/>
      <w:lvlJc w:val="left"/>
      <w:pPr>
        <w:ind w:left="2940" w:hanging="420"/>
      </w:pPr>
      <w:rPr>
        <w:rFonts w:ascii="Times New Roman" w:hint="default"/>
      </w:rPr>
    </w:lvl>
    <w:lvl w:ilvl="7">
      <w:start w:val="1"/>
      <w:numFmt w:val="lowerLetter"/>
      <w:lvlText w:val="%8)"/>
      <w:lvlJc w:val="left"/>
      <w:pPr>
        <w:ind w:left="3360" w:hanging="420"/>
      </w:pPr>
      <w:rPr>
        <w:rFonts w:ascii="Times New Roman" w:hint="default"/>
      </w:rPr>
    </w:lvl>
    <w:lvl w:ilvl="8">
      <w:start w:val="1"/>
      <w:numFmt w:val="lowerRoman"/>
      <w:lvlText w:val="%9."/>
      <w:lvlJc w:val="right"/>
      <w:pPr>
        <w:ind w:left="3780" w:hanging="420"/>
      </w:pPr>
      <w:rPr>
        <w:rFonts w:ascii="Times New Roman" w:hint="default"/>
      </w:rPr>
    </w:lvl>
  </w:abstractNum>
  <w:abstractNum w:abstractNumId="2" w15:restartNumberingAfterBreak="0">
    <w:nsid w:val="04206786"/>
    <w:multiLevelType w:val="hybridMultilevel"/>
    <w:tmpl w:val="C3D6A05A"/>
    <w:lvl w:ilvl="0" w:tplc="33023672">
      <w:start w:val="1"/>
      <w:numFmt w:val="decimal"/>
      <w:lvlText w:val="%1."/>
      <w:lvlJc w:val="left"/>
      <w:pPr>
        <w:ind w:left="360" w:hanging="360"/>
      </w:pPr>
      <w:rPr>
        <w:rFonts w:ascii="Times New Roman" w:hAnsi="Times New Roman" w:cs="Times New Roman" w:hint="default"/>
        <w:sz w:val="24"/>
        <w:szCs w:val="24"/>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3" w15:restartNumberingAfterBreak="0">
    <w:nsid w:val="04E16DC1"/>
    <w:multiLevelType w:val="multilevel"/>
    <w:tmpl w:val="BCCEA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0130D0"/>
    <w:multiLevelType w:val="hybridMultilevel"/>
    <w:tmpl w:val="7F7AEC58"/>
    <w:lvl w:ilvl="0" w:tplc="8926EFF2">
      <w:start w:val="1"/>
      <w:numFmt w:val="bullet"/>
      <w:pStyle w:val="List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AEB0C4F"/>
    <w:multiLevelType w:val="multilevel"/>
    <w:tmpl w:val="C8200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8C3123"/>
    <w:multiLevelType w:val="hybridMultilevel"/>
    <w:tmpl w:val="402400A6"/>
    <w:lvl w:ilvl="0" w:tplc="434E5BE2">
      <w:start w:val="1"/>
      <w:numFmt w:val="decimal"/>
      <w:lvlText w:val="[%1]"/>
      <w:lvlJc w:val="left"/>
      <w:pPr>
        <w:ind w:left="720" w:hanging="360"/>
      </w:pPr>
      <w:rPr>
        <w:rFonts w:hint="default"/>
        <w:b w:val="0"/>
        <w:sz w:val="24"/>
        <w:szCs w:val="24"/>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13887F15"/>
    <w:multiLevelType w:val="multilevel"/>
    <w:tmpl w:val="3E4EC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AF73EB"/>
    <w:multiLevelType w:val="multilevel"/>
    <w:tmpl w:val="B94E7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79A1421"/>
    <w:multiLevelType w:val="hybridMultilevel"/>
    <w:tmpl w:val="E0641716"/>
    <w:lvl w:ilvl="0" w:tplc="6E02B7DE">
      <w:start w:val="1"/>
      <w:numFmt w:val="decimal"/>
      <w:pStyle w:val="BibItem"/>
      <w:lvlText w:val="[%1]"/>
      <w:lvlJc w:val="left"/>
      <w:pPr>
        <w:tabs>
          <w:tab w:val="num" w:pos="1222"/>
        </w:tabs>
        <w:ind w:left="862" w:hanging="360"/>
      </w:pPr>
      <w:rPr>
        <w:rFonts w:hint="default"/>
      </w:rPr>
    </w:lvl>
    <w:lvl w:ilvl="1" w:tplc="04050019" w:tentative="1">
      <w:start w:val="1"/>
      <w:numFmt w:val="lowerLetter"/>
      <w:lvlText w:val="%2."/>
      <w:lvlJc w:val="left"/>
      <w:pPr>
        <w:tabs>
          <w:tab w:val="num" w:pos="1582"/>
        </w:tabs>
        <w:ind w:left="1582" w:hanging="360"/>
      </w:pPr>
    </w:lvl>
    <w:lvl w:ilvl="2" w:tplc="0405001B" w:tentative="1">
      <w:start w:val="1"/>
      <w:numFmt w:val="lowerRoman"/>
      <w:lvlText w:val="%3."/>
      <w:lvlJc w:val="right"/>
      <w:pPr>
        <w:tabs>
          <w:tab w:val="num" w:pos="2302"/>
        </w:tabs>
        <w:ind w:left="2302" w:hanging="180"/>
      </w:pPr>
    </w:lvl>
    <w:lvl w:ilvl="3" w:tplc="0405000F" w:tentative="1">
      <w:start w:val="1"/>
      <w:numFmt w:val="decimal"/>
      <w:lvlText w:val="%4."/>
      <w:lvlJc w:val="left"/>
      <w:pPr>
        <w:tabs>
          <w:tab w:val="num" w:pos="3022"/>
        </w:tabs>
        <w:ind w:left="3022" w:hanging="360"/>
      </w:pPr>
    </w:lvl>
    <w:lvl w:ilvl="4" w:tplc="04050019" w:tentative="1">
      <w:start w:val="1"/>
      <w:numFmt w:val="lowerLetter"/>
      <w:lvlText w:val="%5."/>
      <w:lvlJc w:val="left"/>
      <w:pPr>
        <w:tabs>
          <w:tab w:val="num" w:pos="3742"/>
        </w:tabs>
        <w:ind w:left="3742" w:hanging="360"/>
      </w:pPr>
    </w:lvl>
    <w:lvl w:ilvl="5" w:tplc="0405001B" w:tentative="1">
      <w:start w:val="1"/>
      <w:numFmt w:val="lowerRoman"/>
      <w:lvlText w:val="%6."/>
      <w:lvlJc w:val="right"/>
      <w:pPr>
        <w:tabs>
          <w:tab w:val="num" w:pos="4462"/>
        </w:tabs>
        <w:ind w:left="4462" w:hanging="180"/>
      </w:pPr>
    </w:lvl>
    <w:lvl w:ilvl="6" w:tplc="0405000F" w:tentative="1">
      <w:start w:val="1"/>
      <w:numFmt w:val="decimal"/>
      <w:lvlText w:val="%7."/>
      <w:lvlJc w:val="left"/>
      <w:pPr>
        <w:tabs>
          <w:tab w:val="num" w:pos="5182"/>
        </w:tabs>
        <w:ind w:left="5182" w:hanging="360"/>
      </w:pPr>
    </w:lvl>
    <w:lvl w:ilvl="7" w:tplc="04050019" w:tentative="1">
      <w:start w:val="1"/>
      <w:numFmt w:val="lowerLetter"/>
      <w:lvlText w:val="%8."/>
      <w:lvlJc w:val="left"/>
      <w:pPr>
        <w:tabs>
          <w:tab w:val="num" w:pos="5902"/>
        </w:tabs>
        <w:ind w:left="5902" w:hanging="360"/>
      </w:pPr>
    </w:lvl>
    <w:lvl w:ilvl="8" w:tplc="0405001B" w:tentative="1">
      <w:start w:val="1"/>
      <w:numFmt w:val="lowerRoman"/>
      <w:lvlText w:val="%9."/>
      <w:lvlJc w:val="right"/>
      <w:pPr>
        <w:tabs>
          <w:tab w:val="num" w:pos="6622"/>
        </w:tabs>
        <w:ind w:left="6622" w:hanging="180"/>
      </w:pPr>
    </w:lvl>
  </w:abstractNum>
  <w:abstractNum w:abstractNumId="10" w15:restartNumberingAfterBreak="0">
    <w:nsid w:val="18356648"/>
    <w:multiLevelType w:val="hybridMultilevel"/>
    <w:tmpl w:val="68B8EED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19DD58BC"/>
    <w:multiLevelType w:val="hybridMultilevel"/>
    <w:tmpl w:val="BD8E849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1BC50D92"/>
    <w:multiLevelType w:val="multilevel"/>
    <w:tmpl w:val="7CD6B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0D7135A"/>
    <w:multiLevelType w:val="multilevel"/>
    <w:tmpl w:val="34863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1F02FEC"/>
    <w:multiLevelType w:val="hybridMultilevel"/>
    <w:tmpl w:val="511C251A"/>
    <w:lvl w:ilvl="0" w:tplc="374AA45E">
      <w:start w:val="1"/>
      <w:numFmt w:val="decimal"/>
      <w:pStyle w:val="ListNumber"/>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5" w15:restartNumberingAfterBreak="0">
    <w:nsid w:val="245C1621"/>
    <w:multiLevelType w:val="hybridMultilevel"/>
    <w:tmpl w:val="57D4EF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24896750"/>
    <w:multiLevelType w:val="multilevel"/>
    <w:tmpl w:val="5CF81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CDA5F72"/>
    <w:multiLevelType w:val="hybridMultilevel"/>
    <w:tmpl w:val="AB6AA1A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319E303B"/>
    <w:multiLevelType w:val="hybridMultilevel"/>
    <w:tmpl w:val="2B34D10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395363F8"/>
    <w:multiLevelType w:val="hybridMultilevel"/>
    <w:tmpl w:val="48903D26"/>
    <w:lvl w:ilvl="0" w:tplc="EA881FCC">
      <w:start w:val="1"/>
      <w:numFmt w:val="decimal"/>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20" w15:restartNumberingAfterBreak="0">
    <w:nsid w:val="3A877D64"/>
    <w:multiLevelType w:val="singleLevel"/>
    <w:tmpl w:val="BEBA665C"/>
    <w:lvl w:ilvl="0">
      <w:start w:val="1"/>
      <w:numFmt w:val="decimal"/>
      <w:pStyle w:val="References"/>
      <w:lvlText w:val="[%1]"/>
      <w:lvlJc w:val="left"/>
      <w:pPr>
        <w:tabs>
          <w:tab w:val="num" w:pos="360"/>
        </w:tabs>
        <w:ind w:left="360" w:hanging="360"/>
      </w:pPr>
      <w:rPr>
        <w:sz w:val="24"/>
        <w:szCs w:val="24"/>
      </w:rPr>
    </w:lvl>
  </w:abstractNum>
  <w:abstractNum w:abstractNumId="21" w15:restartNumberingAfterBreak="0">
    <w:nsid w:val="3DB04801"/>
    <w:multiLevelType w:val="multilevel"/>
    <w:tmpl w:val="3DB04801"/>
    <w:lvl w:ilvl="0">
      <w:start w:val="1"/>
      <w:numFmt w:val="decimal"/>
      <w:lvlText w:val="%1."/>
      <w:lvlJc w:val="left"/>
      <w:pPr>
        <w:ind w:left="360" w:hanging="360"/>
      </w:pPr>
      <w:rPr>
        <w:rFonts w:ascii="Times New Roman" w:hint="default"/>
      </w:rPr>
    </w:lvl>
    <w:lvl w:ilvl="1">
      <w:start w:val="1"/>
      <w:numFmt w:val="decimal"/>
      <w:isLgl/>
      <w:lvlText w:val="%1.%2"/>
      <w:lvlJc w:val="left"/>
      <w:pPr>
        <w:ind w:left="360" w:hanging="360"/>
      </w:pPr>
      <w:rPr>
        <w:rFonts w:ascii="Times New Roman" w:hint="default"/>
      </w:rPr>
    </w:lvl>
    <w:lvl w:ilvl="2">
      <w:start w:val="1"/>
      <w:numFmt w:val="decimal"/>
      <w:isLgl/>
      <w:lvlText w:val="%1.%2.%3"/>
      <w:lvlJc w:val="left"/>
      <w:pPr>
        <w:ind w:left="720" w:hanging="720"/>
      </w:pPr>
      <w:rPr>
        <w:rFonts w:ascii="Times New Roman" w:hint="default"/>
      </w:rPr>
    </w:lvl>
    <w:lvl w:ilvl="3">
      <w:start w:val="1"/>
      <w:numFmt w:val="decimal"/>
      <w:isLgl/>
      <w:lvlText w:val="%1.%2.%3.%4"/>
      <w:lvlJc w:val="left"/>
      <w:pPr>
        <w:ind w:left="720" w:hanging="720"/>
      </w:pPr>
      <w:rPr>
        <w:rFonts w:ascii="Times New Roman" w:hint="default"/>
      </w:rPr>
    </w:lvl>
    <w:lvl w:ilvl="4">
      <w:start w:val="1"/>
      <w:numFmt w:val="decimal"/>
      <w:isLgl/>
      <w:lvlText w:val="%1.%2.%3.%4.%5"/>
      <w:lvlJc w:val="left"/>
      <w:pPr>
        <w:ind w:left="1080" w:hanging="1080"/>
      </w:pPr>
      <w:rPr>
        <w:rFonts w:ascii="Times New Roman" w:hint="default"/>
      </w:rPr>
    </w:lvl>
    <w:lvl w:ilvl="5">
      <w:start w:val="1"/>
      <w:numFmt w:val="decimal"/>
      <w:isLgl/>
      <w:lvlText w:val="%1.%2.%3.%4.%5.%6"/>
      <w:lvlJc w:val="left"/>
      <w:pPr>
        <w:ind w:left="1080" w:hanging="1080"/>
      </w:pPr>
      <w:rPr>
        <w:rFonts w:ascii="Times New Roman" w:hint="default"/>
      </w:rPr>
    </w:lvl>
    <w:lvl w:ilvl="6">
      <w:start w:val="1"/>
      <w:numFmt w:val="decimal"/>
      <w:isLgl/>
      <w:lvlText w:val=""/>
      <w:lvlJc w:val="left"/>
      <w:pPr>
        <w:ind w:left="1440" w:hanging="1440"/>
      </w:pPr>
      <w:rPr>
        <w:rFonts w:ascii="Times New Roman" w:hint="default"/>
      </w:rPr>
    </w:lvl>
    <w:lvl w:ilvl="7">
      <w:start w:val="1"/>
      <w:numFmt w:val="decimal"/>
      <w:isLgl/>
      <w:lvlText w:val="%1.%2.%3.%4.%5.%6..%8"/>
      <w:lvlJc w:val="left"/>
      <w:pPr>
        <w:ind w:left="1440" w:hanging="1440"/>
      </w:pPr>
      <w:rPr>
        <w:rFonts w:ascii="Times New Roman" w:hint="default"/>
      </w:rPr>
    </w:lvl>
    <w:lvl w:ilvl="8">
      <w:start w:val="1"/>
      <w:numFmt w:val="decimal"/>
      <w:isLgl/>
      <w:lvlText w:val="%1.%2.%3.%4.%5.%6..%8.%9"/>
      <w:lvlJc w:val="left"/>
      <w:pPr>
        <w:ind w:left="1800" w:hanging="1800"/>
      </w:pPr>
      <w:rPr>
        <w:rFonts w:ascii="Times New Roman" w:hint="default"/>
      </w:rPr>
    </w:lvl>
  </w:abstractNum>
  <w:abstractNum w:abstractNumId="22" w15:restartNumberingAfterBreak="0">
    <w:nsid w:val="3F03055D"/>
    <w:multiLevelType w:val="multilevel"/>
    <w:tmpl w:val="C638D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18E05DF"/>
    <w:multiLevelType w:val="hybridMultilevel"/>
    <w:tmpl w:val="B3680E58"/>
    <w:lvl w:ilvl="0" w:tplc="04050001">
      <w:start w:val="1"/>
      <w:numFmt w:val="bullet"/>
      <w:lvlText w:val=""/>
      <w:lvlJc w:val="left"/>
      <w:pPr>
        <w:ind w:left="1060" w:hanging="360"/>
      </w:pPr>
      <w:rPr>
        <w:rFonts w:ascii="Symbol" w:hAnsi="Symbol" w:hint="default"/>
      </w:rPr>
    </w:lvl>
    <w:lvl w:ilvl="1" w:tplc="04050003" w:tentative="1">
      <w:start w:val="1"/>
      <w:numFmt w:val="bullet"/>
      <w:lvlText w:val="o"/>
      <w:lvlJc w:val="left"/>
      <w:pPr>
        <w:ind w:left="1780" w:hanging="360"/>
      </w:pPr>
      <w:rPr>
        <w:rFonts w:ascii="Courier New" w:hAnsi="Courier New" w:cs="Courier New" w:hint="default"/>
      </w:rPr>
    </w:lvl>
    <w:lvl w:ilvl="2" w:tplc="04050005" w:tentative="1">
      <w:start w:val="1"/>
      <w:numFmt w:val="bullet"/>
      <w:lvlText w:val=""/>
      <w:lvlJc w:val="left"/>
      <w:pPr>
        <w:ind w:left="2500" w:hanging="360"/>
      </w:pPr>
      <w:rPr>
        <w:rFonts w:ascii="Wingdings" w:hAnsi="Wingdings" w:hint="default"/>
      </w:rPr>
    </w:lvl>
    <w:lvl w:ilvl="3" w:tplc="04050001" w:tentative="1">
      <w:start w:val="1"/>
      <w:numFmt w:val="bullet"/>
      <w:lvlText w:val=""/>
      <w:lvlJc w:val="left"/>
      <w:pPr>
        <w:ind w:left="3220" w:hanging="360"/>
      </w:pPr>
      <w:rPr>
        <w:rFonts w:ascii="Symbol" w:hAnsi="Symbol" w:hint="default"/>
      </w:rPr>
    </w:lvl>
    <w:lvl w:ilvl="4" w:tplc="04050003" w:tentative="1">
      <w:start w:val="1"/>
      <w:numFmt w:val="bullet"/>
      <w:lvlText w:val="o"/>
      <w:lvlJc w:val="left"/>
      <w:pPr>
        <w:ind w:left="3940" w:hanging="360"/>
      </w:pPr>
      <w:rPr>
        <w:rFonts w:ascii="Courier New" w:hAnsi="Courier New" w:cs="Courier New" w:hint="default"/>
      </w:rPr>
    </w:lvl>
    <w:lvl w:ilvl="5" w:tplc="04050005" w:tentative="1">
      <w:start w:val="1"/>
      <w:numFmt w:val="bullet"/>
      <w:lvlText w:val=""/>
      <w:lvlJc w:val="left"/>
      <w:pPr>
        <w:ind w:left="4660" w:hanging="360"/>
      </w:pPr>
      <w:rPr>
        <w:rFonts w:ascii="Wingdings" w:hAnsi="Wingdings" w:hint="default"/>
      </w:rPr>
    </w:lvl>
    <w:lvl w:ilvl="6" w:tplc="04050001" w:tentative="1">
      <w:start w:val="1"/>
      <w:numFmt w:val="bullet"/>
      <w:lvlText w:val=""/>
      <w:lvlJc w:val="left"/>
      <w:pPr>
        <w:ind w:left="5380" w:hanging="360"/>
      </w:pPr>
      <w:rPr>
        <w:rFonts w:ascii="Symbol" w:hAnsi="Symbol" w:hint="default"/>
      </w:rPr>
    </w:lvl>
    <w:lvl w:ilvl="7" w:tplc="04050003" w:tentative="1">
      <w:start w:val="1"/>
      <w:numFmt w:val="bullet"/>
      <w:lvlText w:val="o"/>
      <w:lvlJc w:val="left"/>
      <w:pPr>
        <w:ind w:left="6100" w:hanging="360"/>
      </w:pPr>
      <w:rPr>
        <w:rFonts w:ascii="Courier New" w:hAnsi="Courier New" w:cs="Courier New" w:hint="default"/>
      </w:rPr>
    </w:lvl>
    <w:lvl w:ilvl="8" w:tplc="04050005" w:tentative="1">
      <w:start w:val="1"/>
      <w:numFmt w:val="bullet"/>
      <w:lvlText w:val=""/>
      <w:lvlJc w:val="left"/>
      <w:pPr>
        <w:ind w:left="6820" w:hanging="360"/>
      </w:pPr>
      <w:rPr>
        <w:rFonts w:ascii="Wingdings" w:hAnsi="Wingdings" w:hint="default"/>
      </w:rPr>
    </w:lvl>
  </w:abstractNum>
  <w:abstractNum w:abstractNumId="24" w15:restartNumberingAfterBreak="0">
    <w:nsid w:val="51CD5C51"/>
    <w:multiLevelType w:val="hybridMultilevel"/>
    <w:tmpl w:val="036CA214"/>
    <w:lvl w:ilvl="0" w:tplc="51E8A0EC">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5" w15:restartNumberingAfterBreak="0">
    <w:nsid w:val="52695328"/>
    <w:multiLevelType w:val="multilevel"/>
    <w:tmpl w:val="F6C45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2FC5D1E"/>
    <w:multiLevelType w:val="multilevel"/>
    <w:tmpl w:val="2932E5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4DD7CDF"/>
    <w:multiLevelType w:val="multilevel"/>
    <w:tmpl w:val="9FA27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E7C09E7"/>
    <w:multiLevelType w:val="multilevel"/>
    <w:tmpl w:val="3EDA9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7B72BE8"/>
    <w:multiLevelType w:val="hybridMultilevel"/>
    <w:tmpl w:val="6A28D6B2"/>
    <w:lvl w:ilvl="0" w:tplc="04090019">
      <w:start w:val="1"/>
      <w:numFmt w:val="lowerLetter"/>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B4A5417"/>
    <w:multiLevelType w:val="hybridMultilevel"/>
    <w:tmpl w:val="7F4CEA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D982D35"/>
    <w:multiLevelType w:val="multilevel"/>
    <w:tmpl w:val="0B1440F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DB51110"/>
    <w:multiLevelType w:val="hybridMultilevel"/>
    <w:tmpl w:val="05F49E36"/>
    <w:lvl w:ilvl="0" w:tplc="10A6F01C">
      <w:start w:val="1"/>
      <w:numFmt w:val="upperLetter"/>
      <w:lvlText w:val="%1."/>
      <w:lvlJc w:val="left"/>
      <w:pPr>
        <w:ind w:left="1260" w:hanging="360"/>
      </w:pPr>
      <w:rPr>
        <w:rFonts w:hint="default"/>
        <w:b/>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3" w15:restartNumberingAfterBreak="0">
    <w:nsid w:val="6EB85827"/>
    <w:multiLevelType w:val="multilevel"/>
    <w:tmpl w:val="4150E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50B6694"/>
    <w:multiLevelType w:val="multilevel"/>
    <w:tmpl w:val="E8C2E028"/>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35" w15:restartNumberingAfterBreak="0">
    <w:nsid w:val="77D27FE9"/>
    <w:multiLevelType w:val="multilevel"/>
    <w:tmpl w:val="D4287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9B977C8"/>
    <w:multiLevelType w:val="multilevel"/>
    <w:tmpl w:val="2F148A84"/>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7" w15:restartNumberingAfterBreak="0">
    <w:nsid w:val="7F401A15"/>
    <w:multiLevelType w:val="multilevel"/>
    <w:tmpl w:val="B7166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19086885">
    <w:abstractNumId w:val="34"/>
  </w:num>
  <w:num w:numId="2" w16cid:durableId="226768203">
    <w:abstractNumId w:val="0"/>
  </w:num>
  <w:num w:numId="3" w16cid:durableId="522287008">
    <w:abstractNumId w:val="9"/>
  </w:num>
  <w:num w:numId="4" w16cid:durableId="1595430546">
    <w:abstractNumId w:val="4"/>
  </w:num>
  <w:num w:numId="5" w16cid:durableId="599530376">
    <w:abstractNumId w:val="14"/>
  </w:num>
  <w:num w:numId="6" w16cid:durableId="463616363">
    <w:abstractNumId w:val="11"/>
  </w:num>
  <w:num w:numId="7" w16cid:durableId="202406771">
    <w:abstractNumId w:val="34"/>
  </w:num>
  <w:num w:numId="8" w16cid:durableId="87585732">
    <w:abstractNumId w:val="23"/>
  </w:num>
  <w:num w:numId="9" w16cid:durableId="2101172793">
    <w:abstractNumId w:val="34"/>
  </w:num>
  <w:num w:numId="10" w16cid:durableId="1371150885">
    <w:abstractNumId w:val="34"/>
  </w:num>
  <w:num w:numId="11" w16cid:durableId="1917006564">
    <w:abstractNumId w:val="34"/>
  </w:num>
  <w:num w:numId="12" w16cid:durableId="364213419">
    <w:abstractNumId w:val="20"/>
  </w:num>
  <w:num w:numId="13" w16cid:durableId="1091662940">
    <w:abstractNumId w:val="34"/>
  </w:num>
  <w:num w:numId="14" w16cid:durableId="1688143326">
    <w:abstractNumId w:val="34"/>
  </w:num>
  <w:num w:numId="15" w16cid:durableId="310251748">
    <w:abstractNumId w:val="21"/>
  </w:num>
  <w:num w:numId="16" w16cid:durableId="1412968908">
    <w:abstractNumId w:val="1"/>
  </w:num>
  <w:num w:numId="17" w16cid:durableId="1018045333">
    <w:abstractNumId w:val="6"/>
  </w:num>
  <w:num w:numId="18" w16cid:durableId="221333663">
    <w:abstractNumId w:val="36"/>
  </w:num>
  <w:num w:numId="19" w16cid:durableId="1291596396">
    <w:abstractNumId w:val="34"/>
  </w:num>
  <w:num w:numId="20" w16cid:durableId="618754953">
    <w:abstractNumId w:val="2"/>
  </w:num>
  <w:num w:numId="21" w16cid:durableId="324480959">
    <w:abstractNumId w:val="31"/>
  </w:num>
  <w:num w:numId="22" w16cid:durableId="486745769">
    <w:abstractNumId w:val="30"/>
  </w:num>
  <w:num w:numId="23" w16cid:durableId="1060320912">
    <w:abstractNumId w:val="19"/>
  </w:num>
  <w:num w:numId="24" w16cid:durableId="1870483305">
    <w:abstractNumId w:val="17"/>
  </w:num>
  <w:num w:numId="25" w16cid:durableId="1670326113">
    <w:abstractNumId w:val="18"/>
  </w:num>
  <w:num w:numId="26" w16cid:durableId="194192822">
    <w:abstractNumId w:val="10"/>
  </w:num>
  <w:num w:numId="27" w16cid:durableId="1139764451">
    <w:abstractNumId w:val="26"/>
  </w:num>
  <w:num w:numId="28" w16cid:durableId="539980777">
    <w:abstractNumId w:val="25"/>
  </w:num>
  <w:num w:numId="29" w16cid:durableId="205071074">
    <w:abstractNumId w:val="16"/>
  </w:num>
  <w:num w:numId="30" w16cid:durableId="1643582861">
    <w:abstractNumId w:val="8"/>
  </w:num>
  <w:num w:numId="31" w16cid:durableId="1992442872">
    <w:abstractNumId w:val="13"/>
  </w:num>
  <w:num w:numId="32" w16cid:durableId="1151100132">
    <w:abstractNumId w:val="35"/>
  </w:num>
  <w:num w:numId="33" w16cid:durableId="1486506309">
    <w:abstractNumId w:val="5"/>
  </w:num>
  <w:num w:numId="34" w16cid:durableId="825316026">
    <w:abstractNumId w:val="22"/>
  </w:num>
  <w:num w:numId="35" w16cid:durableId="355425109">
    <w:abstractNumId w:val="7"/>
  </w:num>
  <w:num w:numId="36" w16cid:durableId="149828266">
    <w:abstractNumId w:val="33"/>
  </w:num>
  <w:num w:numId="37" w16cid:durableId="1740864161">
    <w:abstractNumId w:val="12"/>
  </w:num>
  <w:num w:numId="38" w16cid:durableId="928737158">
    <w:abstractNumId w:val="27"/>
  </w:num>
  <w:num w:numId="39" w16cid:durableId="1088774340">
    <w:abstractNumId w:val="37"/>
  </w:num>
  <w:num w:numId="40" w16cid:durableId="428890303">
    <w:abstractNumId w:val="28"/>
  </w:num>
  <w:num w:numId="41" w16cid:durableId="1885218690">
    <w:abstractNumId w:val="3"/>
  </w:num>
  <w:num w:numId="42" w16cid:durableId="1349285567">
    <w:abstractNumId w:val="15"/>
  </w:num>
  <w:num w:numId="43" w16cid:durableId="2005086140">
    <w:abstractNumId w:val="32"/>
  </w:num>
  <w:num w:numId="44" w16cid:durableId="1521507274">
    <w:abstractNumId w:val="24"/>
  </w:num>
  <w:num w:numId="45" w16cid:durableId="1724862707">
    <w:abstractNumId w:val="2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4"/>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0FEC"/>
    <w:rsid w:val="000079DC"/>
    <w:rsid w:val="00015856"/>
    <w:rsid w:val="000202EC"/>
    <w:rsid w:val="00022935"/>
    <w:rsid w:val="00025D46"/>
    <w:rsid w:val="00036598"/>
    <w:rsid w:val="0005391C"/>
    <w:rsid w:val="00064850"/>
    <w:rsid w:val="000942DE"/>
    <w:rsid w:val="00097F1F"/>
    <w:rsid w:val="000A23D6"/>
    <w:rsid w:val="000A3E1C"/>
    <w:rsid w:val="000B015E"/>
    <w:rsid w:val="000B39AC"/>
    <w:rsid w:val="000B69AE"/>
    <w:rsid w:val="000B71F9"/>
    <w:rsid w:val="000C2EC8"/>
    <w:rsid w:val="000C664A"/>
    <w:rsid w:val="000C7E86"/>
    <w:rsid w:val="000D6318"/>
    <w:rsid w:val="000E06F0"/>
    <w:rsid w:val="000E69EA"/>
    <w:rsid w:val="000F70A2"/>
    <w:rsid w:val="001018CE"/>
    <w:rsid w:val="00104022"/>
    <w:rsid w:val="00111CBB"/>
    <w:rsid w:val="00116F84"/>
    <w:rsid w:val="0012329C"/>
    <w:rsid w:val="001258D7"/>
    <w:rsid w:val="00141FE5"/>
    <w:rsid w:val="001524F1"/>
    <w:rsid w:val="001553BE"/>
    <w:rsid w:val="001655E4"/>
    <w:rsid w:val="00167103"/>
    <w:rsid w:val="00173F9F"/>
    <w:rsid w:val="00176EDF"/>
    <w:rsid w:val="001770FF"/>
    <w:rsid w:val="00182B8C"/>
    <w:rsid w:val="00183509"/>
    <w:rsid w:val="00184A8E"/>
    <w:rsid w:val="00187458"/>
    <w:rsid w:val="00194CC9"/>
    <w:rsid w:val="001A11E5"/>
    <w:rsid w:val="001C0FDC"/>
    <w:rsid w:val="001E4911"/>
    <w:rsid w:val="001E77E2"/>
    <w:rsid w:val="001F2F1A"/>
    <w:rsid w:val="00210292"/>
    <w:rsid w:val="00213C4E"/>
    <w:rsid w:val="00214B62"/>
    <w:rsid w:val="00236F58"/>
    <w:rsid w:val="0024024E"/>
    <w:rsid w:val="00244D8E"/>
    <w:rsid w:val="0024632F"/>
    <w:rsid w:val="00246C93"/>
    <w:rsid w:val="00267B32"/>
    <w:rsid w:val="00276AC4"/>
    <w:rsid w:val="00282D23"/>
    <w:rsid w:val="0029232A"/>
    <w:rsid w:val="002964CA"/>
    <w:rsid w:val="002973EC"/>
    <w:rsid w:val="00297421"/>
    <w:rsid w:val="00297A23"/>
    <w:rsid w:val="002A1213"/>
    <w:rsid w:val="002A2D39"/>
    <w:rsid w:val="002A6445"/>
    <w:rsid w:val="002A7497"/>
    <w:rsid w:val="002B2D02"/>
    <w:rsid w:val="002B5C7E"/>
    <w:rsid w:val="002C6489"/>
    <w:rsid w:val="002D2435"/>
    <w:rsid w:val="002D288A"/>
    <w:rsid w:val="002D397F"/>
    <w:rsid w:val="002D3F2A"/>
    <w:rsid w:val="002E0C4B"/>
    <w:rsid w:val="002E2E78"/>
    <w:rsid w:val="00303994"/>
    <w:rsid w:val="00305CFC"/>
    <w:rsid w:val="00320327"/>
    <w:rsid w:val="003203BB"/>
    <w:rsid w:val="00321067"/>
    <w:rsid w:val="00321228"/>
    <w:rsid w:val="00321672"/>
    <w:rsid w:val="00324027"/>
    <w:rsid w:val="003242CA"/>
    <w:rsid w:val="00325748"/>
    <w:rsid w:val="00341238"/>
    <w:rsid w:val="00341FCE"/>
    <w:rsid w:val="00342672"/>
    <w:rsid w:val="003450E3"/>
    <w:rsid w:val="00345659"/>
    <w:rsid w:val="00347052"/>
    <w:rsid w:val="00351B3F"/>
    <w:rsid w:val="00353546"/>
    <w:rsid w:val="00355285"/>
    <w:rsid w:val="00355D34"/>
    <w:rsid w:val="0037108E"/>
    <w:rsid w:val="003722BE"/>
    <w:rsid w:val="003B0EBD"/>
    <w:rsid w:val="003B1DBF"/>
    <w:rsid w:val="003B7589"/>
    <w:rsid w:val="003C2119"/>
    <w:rsid w:val="003D1E1E"/>
    <w:rsid w:val="003D38C6"/>
    <w:rsid w:val="003D5A9A"/>
    <w:rsid w:val="003D6A75"/>
    <w:rsid w:val="003E2653"/>
    <w:rsid w:val="003E5565"/>
    <w:rsid w:val="003E6B2A"/>
    <w:rsid w:val="003F0014"/>
    <w:rsid w:val="003F2838"/>
    <w:rsid w:val="003F5E05"/>
    <w:rsid w:val="004035DC"/>
    <w:rsid w:val="004227B2"/>
    <w:rsid w:val="004270FB"/>
    <w:rsid w:val="0043227C"/>
    <w:rsid w:val="00435529"/>
    <w:rsid w:val="004456F1"/>
    <w:rsid w:val="004522C0"/>
    <w:rsid w:val="00457EB6"/>
    <w:rsid w:val="004630A7"/>
    <w:rsid w:val="004706D2"/>
    <w:rsid w:val="00470E18"/>
    <w:rsid w:val="004744FD"/>
    <w:rsid w:val="00475FED"/>
    <w:rsid w:val="004767B3"/>
    <w:rsid w:val="00477313"/>
    <w:rsid w:val="004913A3"/>
    <w:rsid w:val="0049526E"/>
    <w:rsid w:val="004A1C97"/>
    <w:rsid w:val="004A1CD3"/>
    <w:rsid w:val="004A5BC8"/>
    <w:rsid w:val="004A5FDE"/>
    <w:rsid w:val="004A6044"/>
    <w:rsid w:val="004B117B"/>
    <w:rsid w:val="004B52F5"/>
    <w:rsid w:val="004C0139"/>
    <w:rsid w:val="004C1F61"/>
    <w:rsid w:val="004C6951"/>
    <w:rsid w:val="004D45E0"/>
    <w:rsid w:val="004D5826"/>
    <w:rsid w:val="004E12E5"/>
    <w:rsid w:val="004E2F54"/>
    <w:rsid w:val="004F130D"/>
    <w:rsid w:val="004F1640"/>
    <w:rsid w:val="004F43E6"/>
    <w:rsid w:val="00501C09"/>
    <w:rsid w:val="005023C2"/>
    <w:rsid w:val="005025C0"/>
    <w:rsid w:val="00516DA5"/>
    <w:rsid w:val="00521EA4"/>
    <w:rsid w:val="00522B9C"/>
    <w:rsid w:val="0052305D"/>
    <w:rsid w:val="005251B6"/>
    <w:rsid w:val="005265DC"/>
    <w:rsid w:val="00540AF0"/>
    <w:rsid w:val="0054660D"/>
    <w:rsid w:val="005508C7"/>
    <w:rsid w:val="00550CE6"/>
    <w:rsid w:val="0055483C"/>
    <w:rsid w:val="00563494"/>
    <w:rsid w:val="005634FC"/>
    <w:rsid w:val="00566A16"/>
    <w:rsid w:val="005717DF"/>
    <w:rsid w:val="00587B6F"/>
    <w:rsid w:val="00592560"/>
    <w:rsid w:val="00592F92"/>
    <w:rsid w:val="00594CBD"/>
    <w:rsid w:val="005975C1"/>
    <w:rsid w:val="005A122F"/>
    <w:rsid w:val="005C5103"/>
    <w:rsid w:val="005C7EB9"/>
    <w:rsid w:val="005D030D"/>
    <w:rsid w:val="005D4DCE"/>
    <w:rsid w:val="005E092A"/>
    <w:rsid w:val="006077DD"/>
    <w:rsid w:val="006115A8"/>
    <w:rsid w:val="00612847"/>
    <w:rsid w:val="00614ECD"/>
    <w:rsid w:val="00624A54"/>
    <w:rsid w:val="00625DF3"/>
    <w:rsid w:val="00630C63"/>
    <w:rsid w:val="006317B9"/>
    <w:rsid w:val="00634128"/>
    <w:rsid w:val="00634473"/>
    <w:rsid w:val="006362AF"/>
    <w:rsid w:val="00645755"/>
    <w:rsid w:val="00653EA0"/>
    <w:rsid w:val="00660FEC"/>
    <w:rsid w:val="00662140"/>
    <w:rsid w:val="0066365A"/>
    <w:rsid w:val="00671DBA"/>
    <w:rsid w:val="00680B33"/>
    <w:rsid w:val="006879F3"/>
    <w:rsid w:val="006976E1"/>
    <w:rsid w:val="00697E94"/>
    <w:rsid w:val="006A53CF"/>
    <w:rsid w:val="006A707D"/>
    <w:rsid w:val="006B12E7"/>
    <w:rsid w:val="006B4862"/>
    <w:rsid w:val="006C189D"/>
    <w:rsid w:val="006C3211"/>
    <w:rsid w:val="006C4ED6"/>
    <w:rsid w:val="006C5AA4"/>
    <w:rsid w:val="006D5972"/>
    <w:rsid w:val="006E312B"/>
    <w:rsid w:val="006E5A4A"/>
    <w:rsid w:val="006F4614"/>
    <w:rsid w:val="00707B02"/>
    <w:rsid w:val="00713880"/>
    <w:rsid w:val="00714DAA"/>
    <w:rsid w:val="0071549A"/>
    <w:rsid w:val="00717760"/>
    <w:rsid w:val="00720462"/>
    <w:rsid w:val="00721DF1"/>
    <w:rsid w:val="0073033D"/>
    <w:rsid w:val="007305C1"/>
    <w:rsid w:val="007317AE"/>
    <w:rsid w:val="00735B67"/>
    <w:rsid w:val="00744CB3"/>
    <w:rsid w:val="00750B20"/>
    <w:rsid w:val="0076023E"/>
    <w:rsid w:val="007620A9"/>
    <w:rsid w:val="00766E72"/>
    <w:rsid w:val="00770A3C"/>
    <w:rsid w:val="00776654"/>
    <w:rsid w:val="00776D3F"/>
    <w:rsid w:val="007772D3"/>
    <w:rsid w:val="007863B5"/>
    <w:rsid w:val="007910EA"/>
    <w:rsid w:val="007928A3"/>
    <w:rsid w:val="007A29EA"/>
    <w:rsid w:val="007A3E01"/>
    <w:rsid w:val="007A3E1B"/>
    <w:rsid w:val="007A4E5B"/>
    <w:rsid w:val="007A5060"/>
    <w:rsid w:val="007A73D2"/>
    <w:rsid w:val="007B1CDC"/>
    <w:rsid w:val="007B1F4C"/>
    <w:rsid w:val="007B2EF0"/>
    <w:rsid w:val="007C0C94"/>
    <w:rsid w:val="007C168F"/>
    <w:rsid w:val="007C30F0"/>
    <w:rsid w:val="007C5313"/>
    <w:rsid w:val="007D0829"/>
    <w:rsid w:val="007D15DA"/>
    <w:rsid w:val="007D396F"/>
    <w:rsid w:val="007E164C"/>
    <w:rsid w:val="007E6201"/>
    <w:rsid w:val="007E7071"/>
    <w:rsid w:val="007E77E3"/>
    <w:rsid w:val="007F65DE"/>
    <w:rsid w:val="00800DE7"/>
    <w:rsid w:val="00804EFA"/>
    <w:rsid w:val="00806BB6"/>
    <w:rsid w:val="00810D52"/>
    <w:rsid w:val="00812CD1"/>
    <w:rsid w:val="00814B19"/>
    <w:rsid w:val="00815B9B"/>
    <w:rsid w:val="00815E7D"/>
    <w:rsid w:val="0082098F"/>
    <w:rsid w:val="008348F4"/>
    <w:rsid w:val="00835C3E"/>
    <w:rsid w:val="008419DA"/>
    <w:rsid w:val="00854A80"/>
    <w:rsid w:val="0085722C"/>
    <w:rsid w:val="0086002B"/>
    <w:rsid w:val="00874EE3"/>
    <w:rsid w:val="0088692D"/>
    <w:rsid w:val="008A1E66"/>
    <w:rsid w:val="008B39FB"/>
    <w:rsid w:val="008B3DC5"/>
    <w:rsid w:val="008B4EE8"/>
    <w:rsid w:val="008B7ED5"/>
    <w:rsid w:val="008C2646"/>
    <w:rsid w:val="008C2738"/>
    <w:rsid w:val="008C29E2"/>
    <w:rsid w:val="008C4BAD"/>
    <w:rsid w:val="008C653D"/>
    <w:rsid w:val="008C6A1C"/>
    <w:rsid w:val="008D0208"/>
    <w:rsid w:val="008D170C"/>
    <w:rsid w:val="008D3F19"/>
    <w:rsid w:val="008D6C8A"/>
    <w:rsid w:val="008E04D6"/>
    <w:rsid w:val="008E40BD"/>
    <w:rsid w:val="008E7090"/>
    <w:rsid w:val="008F059D"/>
    <w:rsid w:val="00901510"/>
    <w:rsid w:val="00902165"/>
    <w:rsid w:val="009029D5"/>
    <w:rsid w:val="00904136"/>
    <w:rsid w:val="0090428A"/>
    <w:rsid w:val="009043B8"/>
    <w:rsid w:val="00906E66"/>
    <w:rsid w:val="00912D7A"/>
    <w:rsid w:val="00920E0D"/>
    <w:rsid w:val="00924DD0"/>
    <w:rsid w:val="00936E6E"/>
    <w:rsid w:val="00941002"/>
    <w:rsid w:val="00945FF4"/>
    <w:rsid w:val="00950987"/>
    <w:rsid w:val="00961EAE"/>
    <w:rsid w:val="00967493"/>
    <w:rsid w:val="00967F12"/>
    <w:rsid w:val="00982B06"/>
    <w:rsid w:val="00983159"/>
    <w:rsid w:val="00984624"/>
    <w:rsid w:val="009935A2"/>
    <w:rsid w:val="009A3A11"/>
    <w:rsid w:val="009A7795"/>
    <w:rsid w:val="009B2383"/>
    <w:rsid w:val="009B38B6"/>
    <w:rsid w:val="009B696B"/>
    <w:rsid w:val="009C44BB"/>
    <w:rsid w:val="009C6BE4"/>
    <w:rsid w:val="009D01BF"/>
    <w:rsid w:val="009D7DDC"/>
    <w:rsid w:val="009E433B"/>
    <w:rsid w:val="009E744E"/>
    <w:rsid w:val="009F5854"/>
    <w:rsid w:val="00A03CFE"/>
    <w:rsid w:val="00A05D17"/>
    <w:rsid w:val="00A10BAC"/>
    <w:rsid w:val="00A11A9F"/>
    <w:rsid w:val="00A17E43"/>
    <w:rsid w:val="00A2582F"/>
    <w:rsid w:val="00A414C6"/>
    <w:rsid w:val="00A442D7"/>
    <w:rsid w:val="00A55B6B"/>
    <w:rsid w:val="00A5671F"/>
    <w:rsid w:val="00A61F84"/>
    <w:rsid w:val="00A73F65"/>
    <w:rsid w:val="00A82764"/>
    <w:rsid w:val="00A83512"/>
    <w:rsid w:val="00A9442F"/>
    <w:rsid w:val="00AA12B7"/>
    <w:rsid w:val="00AA437F"/>
    <w:rsid w:val="00AA67A6"/>
    <w:rsid w:val="00AB28DF"/>
    <w:rsid w:val="00AB57F8"/>
    <w:rsid w:val="00AB6222"/>
    <w:rsid w:val="00AB679F"/>
    <w:rsid w:val="00AC7AED"/>
    <w:rsid w:val="00AD0D46"/>
    <w:rsid w:val="00AD330F"/>
    <w:rsid w:val="00AE086D"/>
    <w:rsid w:val="00AE3B5D"/>
    <w:rsid w:val="00B016FE"/>
    <w:rsid w:val="00B03C9A"/>
    <w:rsid w:val="00B03F2F"/>
    <w:rsid w:val="00B12EC4"/>
    <w:rsid w:val="00B13942"/>
    <w:rsid w:val="00B1721B"/>
    <w:rsid w:val="00B2385B"/>
    <w:rsid w:val="00B2423A"/>
    <w:rsid w:val="00B27DE7"/>
    <w:rsid w:val="00B3126D"/>
    <w:rsid w:val="00B312AE"/>
    <w:rsid w:val="00B43D0E"/>
    <w:rsid w:val="00B50B78"/>
    <w:rsid w:val="00B5164D"/>
    <w:rsid w:val="00B71800"/>
    <w:rsid w:val="00B71D9C"/>
    <w:rsid w:val="00B75FD0"/>
    <w:rsid w:val="00B8348E"/>
    <w:rsid w:val="00B83AC5"/>
    <w:rsid w:val="00B87FCD"/>
    <w:rsid w:val="00B925C6"/>
    <w:rsid w:val="00B96B80"/>
    <w:rsid w:val="00BA44EE"/>
    <w:rsid w:val="00BB0C64"/>
    <w:rsid w:val="00BB25BE"/>
    <w:rsid w:val="00BB4F4F"/>
    <w:rsid w:val="00BC459B"/>
    <w:rsid w:val="00BC5B81"/>
    <w:rsid w:val="00BD019B"/>
    <w:rsid w:val="00BD2D89"/>
    <w:rsid w:val="00BD5977"/>
    <w:rsid w:val="00BD6C03"/>
    <w:rsid w:val="00BE0880"/>
    <w:rsid w:val="00BE5A06"/>
    <w:rsid w:val="00BF35E4"/>
    <w:rsid w:val="00C00D57"/>
    <w:rsid w:val="00C215FD"/>
    <w:rsid w:val="00C22068"/>
    <w:rsid w:val="00C257F5"/>
    <w:rsid w:val="00C26AF4"/>
    <w:rsid w:val="00C2784F"/>
    <w:rsid w:val="00C31E86"/>
    <w:rsid w:val="00C3254C"/>
    <w:rsid w:val="00C33FF6"/>
    <w:rsid w:val="00C34869"/>
    <w:rsid w:val="00C354D1"/>
    <w:rsid w:val="00C36E8D"/>
    <w:rsid w:val="00C40F7C"/>
    <w:rsid w:val="00C432B1"/>
    <w:rsid w:val="00C433CF"/>
    <w:rsid w:val="00C734E9"/>
    <w:rsid w:val="00C746A0"/>
    <w:rsid w:val="00C76454"/>
    <w:rsid w:val="00C775BA"/>
    <w:rsid w:val="00C849FD"/>
    <w:rsid w:val="00C95D1C"/>
    <w:rsid w:val="00CA0458"/>
    <w:rsid w:val="00CA4FB6"/>
    <w:rsid w:val="00CB291F"/>
    <w:rsid w:val="00CC43A6"/>
    <w:rsid w:val="00CC6C92"/>
    <w:rsid w:val="00CD0460"/>
    <w:rsid w:val="00CD5559"/>
    <w:rsid w:val="00CD7B74"/>
    <w:rsid w:val="00CE41CC"/>
    <w:rsid w:val="00CF21EE"/>
    <w:rsid w:val="00CF5C41"/>
    <w:rsid w:val="00CF7461"/>
    <w:rsid w:val="00D048C9"/>
    <w:rsid w:val="00D05BC8"/>
    <w:rsid w:val="00D06133"/>
    <w:rsid w:val="00D12012"/>
    <w:rsid w:val="00D170DB"/>
    <w:rsid w:val="00D27DB2"/>
    <w:rsid w:val="00D30B48"/>
    <w:rsid w:val="00D345D2"/>
    <w:rsid w:val="00D43284"/>
    <w:rsid w:val="00D57034"/>
    <w:rsid w:val="00D612DD"/>
    <w:rsid w:val="00D655E9"/>
    <w:rsid w:val="00D71DFB"/>
    <w:rsid w:val="00D81914"/>
    <w:rsid w:val="00D83546"/>
    <w:rsid w:val="00DA4BFE"/>
    <w:rsid w:val="00DA78E4"/>
    <w:rsid w:val="00DB1A15"/>
    <w:rsid w:val="00DB5987"/>
    <w:rsid w:val="00DB6DC0"/>
    <w:rsid w:val="00DC361F"/>
    <w:rsid w:val="00DD54C2"/>
    <w:rsid w:val="00DD7619"/>
    <w:rsid w:val="00DE756A"/>
    <w:rsid w:val="00DF0A39"/>
    <w:rsid w:val="00DF1F69"/>
    <w:rsid w:val="00E01651"/>
    <w:rsid w:val="00E02CD2"/>
    <w:rsid w:val="00E0569E"/>
    <w:rsid w:val="00E05EC9"/>
    <w:rsid w:val="00E12F95"/>
    <w:rsid w:val="00E1671E"/>
    <w:rsid w:val="00E20965"/>
    <w:rsid w:val="00E2267A"/>
    <w:rsid w:val="00E2427E"/>
    <w:rsid w:val="00E323A8"/>
    <w:rsid w:val="00E42C0E"/>
    <w:rsid w:val="00E47317"/>
    <w:rsid w:val="00E565F1"/>
    <w:rsid w:val="00E61544"/>
    <w:rsid w:val="00E6253E"/>
    <w:rsid w:val="00E74B53"/>
    <w:rsid w:val="00E74F90"/>
    <w:rsid w:val="00E8416B"/>
    <w:rsid w:val="00E84A4D"/>
    <w:rsid w:val="00E937A9"/>
    <w:rsid w:val="00EA08F2"/>
    <w:rsid w:val="00EA204A"/>
    <w:rsid w:val="00EA3673"/>
    <w:rsid w:val="00EA6343"/>
    <w:rsid w:val="00EB1A0B"/>
    <w:rsid w:val="00EB7230"/>
    <w:rsid w:val="00EB760A"/>
    <w:rsid w:val="00EC082A"/>
    <w:rsid w:val="00EC5942"/>
    <w:rsid w:val="00EC5C21"/>
    <w:rsid w:val="00EC7F38"/>
    <w:rsid w:val="00ED1170"/>
    <w:rsid w:val="00ED2BBA"/>
    <w:rsid w:val="00ED5329"/>
    <w:rsid w:val="00ED73D9"/>
    <w:rsid w:val="00EE1BA1"/>
    <w:rsid w:val="00EE2925"/>
    <w:rsid w:val="00EE5E9D"/>
    <w:rsid w:val="00F02FB5"/>
    <w:rsid w:val="00F0336E"/>
    <w:rsid w:val="00F04866"/>
    <w:rsid w:val="00F05030"/>
    <w:rsid w:val="00F0630A"/>
    <w:rsid w:val="00F0634C"/>
    <w:rsid w:val="00F11B6A"/>
    <w:rsid w:val="00F14BA1"/>
    <w:rsid w:val="00F17CFE"/>
    <w:rsid w:val="00F2079A"/>
    <w:rsid w:val="00F21832"/>
    <w:rsid w:val="00F2549D"/>
    <w:rsid w:val="00F2746E"/>
    <w:rsid w:val="00F308AB"/>
    <w:rsid w:val="00F35ED6"/>
    <w:rsid w:val="00F4324A"/>
    <w:rsid w:val="00F56BDE"/>
    <w:rsid w:val="00F7100C"/>
    <w:rsid w:val="00F72762"/>
    <w:rsid w:val="00F74FAF"/>
    <w:rsid w:val="00F979DA"/>
    <w:rsid w:val="00F97F99"/>
    <w:rsid w:val="00FA27B1"/>
    <w:rsid w:val="00FA4B23"/>
    <w:rsid w:val="00FA5F68"/>
    <w:rsid w:val="00FB43A0"/>
    <w:rsid w:val="00FB5781"/>
    <w:rsid w:val="00FC4036"/>
    <w:rsid w:val="00FC6469"/>
    <w:rsid w:val="00FD568F"/>
    <w:rsid w:val="00FD7457"/>
    <w:rsid w:val="00FE10E4"/>
    <w:rsid w:val="00FE45A5"/>
    <w:rsid w:val="00FE780F"/>
    <w:rsid w:val="00FF4F09"/>
    <w:rsid w:val="00FF5419"/>
    <w:rsid w:val="00FF703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371929"/>
  <w15:docId w15:val="{0E019596-AEEC-408F-B842-E2C2F3F56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E3B5D"/>
    <w:pPr>
      <w:autoSpaceDE w:val="0"/>
      <w:autoSpaceDN w:val="0"/>
      <w:spacing w:before="120"/>
      <w:ind w:firstLine="284"/>
      <w:jc w:val="both"/>
    </w:pPr>
    <w:rPr>
      <w:sz w:val="24"/>
      <w:lang w:val="cs-CZ" w:eastAsia="cs-CZ"/>
    </w:rPr>
  </w:style>
  <w:style w:type="paragraph" w:styleId="Heading1">
    <w:name w:val="heading 1"/>
    <w:basedOn w:val="Normal"/>
    <w:next w:val="Normal"/>
    <w:qFormat/>
    <w:rsid w:val="006C5AA4"/>
    <w:pPr>
      <w:keepNext/>
      <w:numPr>
        <w:numId w:val="1"/>
      </w:numPr>
      <w:spacing w:before="360" w:after="120"/>
      <w:outlineLvl w:val="0"/>
    </w:pPr>
    <w:rPr>
      <w:b/>
      <w:bCs/>
      <w:kern w:val="28"/>
      <w:sz w:val="28"/>
      <w:szCs w:val="30"/>
      <w:lang w:val="en-US"/>
    </w:rPr>
  </w:style>
  <w:style w:type="paragraph" w:styleId="Heading2">
    <w:name w:val="heading 2"/>
    <w:basedOn w:val="Normal"/>
    <w:next w:val="Normal"/>
    <w:qFormat/>
    <w:rsid w:val="00183509"/>
    <w:pPr>
      <w:keepNext/>
      <w:numPr>
        <w:ilvl w:val="1"/>
        <w:numId w:val="1"/>
      </w:numPr>
      <w:spacing w:before="240" w:after="120"/>
      <w:outlineLvl w:val="1"/>
    </w:pPr>
    <w:rPr>
      <w:b/>
      <w:bCs/>
      <w:szCs w:val="24"/>
      <w:lang w:val="en-US"/>
    </w:rPr>
  </w:style>
  <w:style w:type="paragraph" w:styleId="Heading3">
    <w:name w:val="heading 3"/>
    <w:basedOn w:val="Normal"/>
    <w:next w:val="Normal"/>
    <w:qFormat/>
    <w:rsid w:val="00183509"/>
    <w:pPr>
      <w:keepNext/>
      <w:numPr>
        <w:ilvl w:val="2"/>
        <w:numId w:val="1"/>
      </w:numPr>
      <w:spacing w:after="60"/>
      <w:outlineLvl w:val="2"/>
    </w:pPr>
    <w:rPr>
      <w:b/>
      <w:bCs/>
      <w:szCs w:val="22"/>
      <w:lang w:val="en-US"/>
    </w:rPr>
  </w:style>
  <w:style w:type="paragraph" w:styleId="Heading4">
    <w:name w:val="heading 4"/>
    <w:basedOn w:val="Normal"/>
    <w:next w:val="Normal"/>
    <w:qFormat/>
    <w:rsid w:val="00F11B6A"/>
    <w:pPr>
      <w:keepNext/>
      <w:numPr>
        <w:ilvl w:val="3"/>
        <w:numId w:val="1"/>
      </w:numPr>
      <w:spacing w:before="240" w:after="60"/>
      <w:outlineLvl w:val="3"/>
    </w:pPr>
    <w:rPr>
      <w:rFonts w:ascii="Arial" w:hAnsi="Arial" w:cs="Arial"/>
      <w:b/>
      <w:bCs/>
      <w:szCs w:val="24"/>
      <w:lang w:val="en-US"/>
    </w:rPr>
  </w:style>
  <w:style w:type="paragraph" w:styleId="Heading5">
    <w:name w:val="heading 5"/>
    <w:basedOn w:val="Normal"/>
    <w:next w:val="Normal"/>
    <w:qFormat/>
    <w:rsid w:val="00F11B6A"/>
    <w:pPr>
      <w:numPr>
        <w:ilvl w:val="4"/>
        <w:numId w:val="1"/>
      </w:numPr>
      <w:spacing w:before="240" w:after="60"/>
      <w:outlineLvl w:val="4"/>
    </w:pPr>
    <w:rPr>
      <w:rFonts w:ascii="Arial" w:hAnsi="Arial" w:cs="Arial"/>
      <w:sz w:val="22"/>
      <w:szCs w:val="22"/>
      <w:lang w:val="en-US"/>
    </w:rPr>
  </w:style>
  <w:style w:type="paragraph" w:styleId="Heading6">
    <w:name w:val="heading 6"/>
    <w:basedOn w:val="Normal"/>
    <w:next w:val="Normal"/>
    <w:qFormat/>
    <w:rsid w:val="00F11B6A"/>
    <w:pPr>
      <w:numPr>
        <w:ilvl w:val="5"/>
        <w:numId w:val="1"/>
      </w:numPr>
      <w:spacing w:before="240" w:after="60"/>
      <w:outlineLvl w:val="5"/>
    </w:pPr>
    <w:rPr>
      <w:i/>
      <w:iCs/>
      <w:sz w:val="22"/>
      <w:szCs w:val="22"/>
      <w:lang w:val="en-US"/>
    </w:rPr>
  </w:style>
  <w:style w:type="paragraph" w:styleId="Heading7">
    <w:name w:val="heading 7"/>
    <w:basedOn w:val="Normal"/>
    <w:next w:val="Normal"/>
    <w:qFormat/>
    <w:rsid w:val="00F11B6A"/>
    <w:pPr>
      <w:numPr>
        <w:ilvl w:val="6"/>
        <w:numId w:val="1"/>
      </w:numPr>
      <w:spacing w:before="240" w:after="60"/>
      <w:outlineLvl w:val="6"/>
    </w:pPr>
    <w:rPr>
      <w:rFonts w:ascii="Arial" w:hAnsi="Arial" w:cs="Arial"/>
      <w:sz w:val="22"/>
      <w:szCs w:val="22"/>
      <w:lang w:val="en-US"/>
    </w:rPr>
  </w:style>
  <w:style w:type="paragraph" w:styleId="Heading8">
    <w:name w:val="heading 8"/>
    <w:basedOn w:val="Normal"/>
    <w:next w:val="Normal"/>
    <w:qFormat/>
    <w:rsid w:val="00F11B6A"/>
    <w:pPr>
      <w:numPr>
        <w:ilvl w:val="7"/>
        <w:numId w:val="1"/>
      </w:numPr>
      <w:spacing w:before="240" w:after="60"/>
      <w:outlineLvl w:val="7"/>
    </w:pPr>
    <w:rPr>
      <w:rFonts w:ascii="Arial" w:hAnsi="Arial" w:cs="Arial"/>
      <w:i/>
      <w:iCs/>
      <w:sz w:val="22"/>
      <w:szCs w:val="22"/>
      <w:lang w:val="en-US"/>
    </w:rPr>
  </w:style>
  <w:style w:type="paragraph" w:styleId="Heading9">
    <w:name w:val="heading 9"/>
    <w:basedOn w:val="Normal"/>
    <w:next w:val="Normal"/>
    <w:qFormat/>
    <w:rsid w:val="00F11B6A"/>
    <w:pPr>
      <w:numPr>
        <w:ilvl w:val="8"/>
        <w:numId w:val="1"/>
      </w:numPr>
      <w:spacing w:before="240" w:after="60"/>
      <w:outlineLvl w:val="8"/>
    </w:pPr>
    <w:rPr>
      <w:rFonts w:ascii="Arial" w:hAnsi="Arial" w:cs="Arial"/>
      <w:b/>
      <w:bCs/>
      <w:i/>
      <w:iCs/>
      <w:sz w:val="18"/>
      <w:szCs w:val="18"/>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F11B6A"/>
    <w:rPr>
      <w:szCs w:val="24"/>
      <w:lang w:val="en-US"/>
    </w:rPr>
  </w:style>
  <w:style w:type="paragraph" w:customStyle="1" w:styleId="Abstract">
    <w:name w:val="Abstract"/>
    <w:rsid w:val="00F11B6A"/>
    <w:pPr>
      <w:autoSpaceDE w:val="0"/>
      <w:autoSpaceDN w:val="0"/>
      <w:ind w:right="567"/>
      <w:jc w:val="both"/>
    </w:pPr>
    <w:rPr>
      <w:sz w:val="22"/>
      <w:szCs w:val="22"/>
      <w:lang w:eastAsia="cs-CZ"/>
    </w:rPr>
  </w:style>
  <w:style w:type="paragraph" w:customStyle="1" w:styleId="KeywordTitle">
    <w:name w:val="Keyword Title"/>
    <w:rsid w:val="00F11B6A"/>
    <w:pPr>
      <w:autoSpaceDE w:val="0"/>
      <w:autoSpaceDN w:val="0"/>
      <w:spacing w:before="240" w:after="120"/>
      <w:ind w:right="567"/>
    </w:pPr>
    <w:rPr>
      <w:b/>
      <w:bCs/>
      <w:sz w:val="22"/>
      <w:szCs w:val="22"/>
      <w:lang w:eastAsia="cs-CZ"/>
    </w:rPr>
  </w:style>
  <w:style w:type="paragraph" w:customStyle="1" w:styleId="Keyword">
    <w:name w:val="Keyword"/>
    <w:rsid w:val="00F11B6A"/>
    <w:pPr>
      <w:autoSpaceDE w:val="0"/>
      <w:autoSpaceDN w:val="0"/>
      <w:ind w:right="567"/>
      <w:jc w:val="both"/>
    </w:pPr>
    <w:rPr>
      <w:sz w:val="22"/>
      <w:szCs w:val="22"/>
      <w:lang w:eastAsia="cs-CZ"/>
    </w:rPr>
  </w:style>
  <w:style w:type="paragraph" w:customStyle="1" w:styleId="AbstractTitle">
    <w:name w:val="Abstract Title"/>
    <w:basedOn w:val="Abstract"/>
    <w:next w:val="Abstract"/>
    <w:rsid w:val="00F11B6A"/>
    <w:pPr>
      <w:spacing w:before="600" w:after="120"/>
      <w:jc w:val="left"/>
    </w:pPr>
    <w:rPr>
      <w:b/>
      <w:bCs/>
    </w:rPr>
  </w:style>
  <w:style w:type="paragraph" w:customStyle="1" w:styleId="Author">
    <w:name w:val="Author"/>
    <w:rsid w:val="00F11B6A"/>
    <w:pPr>
      <w:autoSpaceDE w:val="0"/>
      <w:autoSpaceDN w:val="0"/>
      <w:spacing w:before="120" w:after="120"/>
      <w:jc w:val="center"/>
    </w:pPr>
    <w:rPr>
      <w:sz w:val="22"/>
      <w:szCs w:val="22"/>
      <w:lang w:eastAsia="cs-CZ"/>
    </w:rPr>
  </w:style>
  <w:style w:type="paragraph" w:customStyle="1" w:styleId="BibItem">
    <w:name w:val="BibItem"/>
    <w:basedOn w:val="BodyText"/>
    <w:rsid w:val="00F11B6A"/>
    <w:pPr>
      <w:keepLines/>
      <w:numPr>
        <w:numId w:val="3"/>
      </w:numPr>
      <w:tabs>
        <w:tab w:val="clear" w:pos="1222"/>
      </w:tabs>
      <w:ind w:left="454" w:hanging="454"/>
    </w:pPr>
  </w:style>
  <w:style w:type="paragraph" w:styleId="ListNumber">
    <w:name w:val="List Number"/>
    <w:basedOn w:val="Normal"/>
    <w:rsid w:val="00F11B6A"/>
    <w:pPr>
      <w:numPr>
        <w:numId w:val="5"/>
      </w:numPr>
    </w:pPr>
    <w:rPr>
      <w:sz w:val="22"/>
      <w:szCs w:val="22"/>
      <w:lang w:val="en-US"/>
    </w:rPr>
  </w:style>
  <w:style w:type="paragraph" w:customStyle="1" w:styleId="Equation">
    <w:name w:val="Equation"/>
    <w:rsid w:val="00F11B6A"/>
    <w:pPr>
      <w:tabs>
        <w:tab w:val="center" w:pos="4536"/>
        <w:tab w:val="right" w:pos="9072"/>
      </w:tabs>
      <w:autoSpaceDE w:val="0"/>
      <w:autoSpaceDN w:val="0"/>
      <w:spacing w:before="160" w:after="120"/>
      <w:jc w:val="center"/>
    </w:pPr>
    <w:rPr>
      <w:sz w:val="22"/>
      <w:szCs w:val="22"/>
      <w:lang w:eastAsia="cs-CZ"/>
    </w:rPr>
  </w:style>
  <w:style w:type="paragraph" w:customStyle="1" w:styleId="Figure">
    <w:name w:val="Figure"/>
    <w:rsid w:val="00F11B6A"/>
    <w:pPr>
      <w:autoSpaceDE w:val="0"/>
      <w:autoSpaceDN w:val="0"/>
      <w:spacing w:before="240"/>
      <w:jc w:val="center"/>
    </w:pPr>
    <w:rPr>
      <w:sz w:val="22"/>
      <w:szCs w:val="22"/>
      <w:lang w:eastAsia="cs-CZ"/>
    </w:rPr>
  </w:style>
  <w:style w:type="paragraph" w:styleId="ListBullet">
    <w:name w:val="List Bullet"/>
    <w:basedOn w:val="Normal"/>
    <w:autoRedefine/>
    <w:uiPriority w:val="99"/>
    <w:rsid w:val="00F11B6A"/>
    <w:pPr>
      <w:numPr>
        <w:numId w:val="4"/>
      </w:numPr>
      <w:spacing w:before="60" w:after="60"/>
    </w:pPr>
    <w:rPr>
      <w:szCs w:val="22"/>
    </w:rPr>
  </w:style>
  <w:style w:type="paragraph" w:customStyle="1" w:styleId="Tabular">
    <w:name w:val="Tabular"/>
    <w:rsid w:val="00F11B6A"/>
    <w:pPr>
      <w:autoSpaceDE w:val="0"/>
      <w:autoSpaceDN w:val="0"/>
      <w:jc w:val="center"/>
    </w:pPr>
    <w:rPr>
      <w:sz w:val="22"/>
      <w:szCs w:val="22"/>
      <w:lang w:eastAsia="cs-CZ"/>
    </w:rPr>
  </w:style>
  <w:style w:type="paragraph" w:styleId="FootnoteText">
    <w:name w:val="footnote text"/>
    <w:basedOn w:val="Normal"/>
    <w:link w:val="FootnoteTextChar"/>
    <w:rsid w:val="00F11B6A"/>
    <w:rPr>
      <w:sz w:val="22"/>
      <w:szCs w:val="22"/>
    </w:rPr>
  </w:style>
  <w:style w:type="paragraph" w:styleId="Title">
    <w:name w:val="Title"/>
    <w:basedOn w:val="Normal"/>
    <w:link w:val="TitleChar"/>
    <w:qFormat/>
    <w:rsid w:val="003F0014"/>
    <w:pPr>
      <w:spacing w:before="480" w:after="120"/>
      <w:ind w:left="851" w:right="850"/>
      <w:jc w:val="center"/>
    </w:pPr>
    <w:rPr>
      <w:rFonts w:cs="Arial"/>
      <w:b/>
      <w:caps/>
      <w:sz w:val="32"/>
      <w:szCs w:val="32"/>
      <w:lang w:val="en-US"/>
    </w:rPr>
  </w:style>
  <w:style w:type="paragraph" w:styleId="Caption">
    <w:name w:val="caption"/>
    <w:basedOn w:val="Normal"/>
    <w:next w:val="Normal"/>
    <w:uiPriority w:val="35"/>
    <w:qFormat/>
    <w:rsid w:val="00F11B6A"/>
    <w:pPr>
      <w:spacing w:after="120"/>
      <w:ind w:left="567" w:right="539"/>
      <w:jc w:val="center"/>
    </w:pPr>
    <w:rPr>
      <w:sz w:val="22"/>
      <w:szCs w:val="22"/>
      <w:lang w:val="en-US"/>
    </w:rPr>
  </w:style>
  <w:style w:type="character" w:styleId="FootnoteReference">
    <w:name w:val="footnote reference"/>
    <w:semiHidden/>
    <w:rsid w:val="00F11B6A"/>
    <w:rPr>
      <w:vertAlign w:val="superscript"/>
    </w:rPr>
  </w:style>
  <w:style w:type="paragraph" w:styleId="Header">
    <w:name w:val="header"/>
    <w:basedOn w:val="Normal"/>
    <w:link w:val="HeaderChar"/>
    <w:rsid w:val="00F11B6A"/>
    <w:pPr>
      <w:tabs>
        <w:tab w:val="center" w:pos="4536"/>
        <w:tab w:val="right" w:pos="9072"/>
      </w:tabs>
    </w:pPr>
    <w:rPr>
      <w:sz w:val="22"/>
      <w:szCs w:val="22"/>
      <w:lang w:val="en-US"/>
    </w:rPr>
  </w:style>
  <w:style w:type="character" w:customStyle="1" w:styleId="Emphasized">
    <w:name w:val="Emphasized"/>
    <w:rsid w:val="00F11B6A"/>
    <w:rPr>
      <w:i/>
      <w:iCs/>
    </w:rPr>
  </w:style>
  <w:style w:type="paragraph" w:styleId="Footer">
    <w:name w:val="footer"/>
    <w:basedOn w:val="Normal"/>
    <w:link w:val="FooterChar"/>
    <w:uiPriority w:val="99"/>
    <w:rsid w:val="00F11B6A"/>
    <w:pPr>
      <w:tabs>
        <w:tab w:val="center" w:pos="4536"/>
        <w:tab w:val="right" w:pos="9072"/>
      </w:tabs>
    </w:pPr>
    <w:rPr>
      <w:sz w:val="22"/>
      <w:szCs w:val="22"/>
      <w:lang w:val="en-US"/>
    </w:rPr>
  </w:style>
  <w:style w:type="character" w:styleId="PageNumber">
    <w:name w:val="page number"/>
    <w:basedOn w:val="DefaultParagraphFont"/>
    <w:rsid w:val="00F11B6A"/>
  </w:style>
  <w:style w:type="paragraph" w:customStyle="1" w:styleId="Literatura">
    <w:name w:val="Literatura"/>
    <w:rsid w:val="00F11B6A"/>
    <w:pPr>
      <w:keepNext/>
      <w:autoSpaceDE w:val="0"/>
      <w:autoSpaceDN w:val="0"/>
      <w:spacing w:before="360" w:after="60"/>
    </w:pPr>
    <w:rPr>
      <w:b/>
      <w:bCs/>
      <w:kern w:val="28"/>
      <w:sz w:val="30"/>
      <w:szCs w:val="30"/>
      <w:lang w:eastAsia="cs-CZ"/>
    </w:rPr>
  </w:style>
  <w:style w:type="character" w:styleId="Hyperlink">
    <w:name w:val="Hyperlink"/>
    <w:rsid w:val="00F11B6A"/>
    <w:rPr>
      <w:color w:val="0000FF"/>
      <w:u w:val="single"/>
    </w:rPr>
  </w:style>
  <w:style w:type="paragraph" w:styleId="BodyTextIndent">
    <w:name w:val="Body Text Indent"/>
    <w:basedOn w:val="Normal"/>
    <w:rsid w:val="00F11B6A"/>
    <w:pPr>
      <w:tabs>
        <w:tab w:val="left" w:pos="709"/>
      </w:tabs>
      <w:spacing w:line="360" w:lineRule="auto"/>
      <w:ind w:firstLine="567"/>
    </w:pPr>
    <w:rPr>
      <w:szCs w:val="24"/>
    </w:rPr>
  </w:style>
  <w:style w:type="paragraph" w:styleId="BodyTextIndent3">
    <w:name w:val="Body Text Indent 3"/>
    <w:basedOn w:val="Normal"/>
    <w:rsid w:val="00F11B6A"/>
    <w:pPr>
      <w:ind w:firstLine="567"/>
    </w:pPr>
    <w:rPr>
      <w:szCs w:val="24"/>
    </w:rPr>
  </w:style>
  <w:style w:type="paragraph" w:styleId="BodyTextIndent2">
    <w:name w:val="Body Text Indent 2"/>
    <w:basedOn w:val="Normal"/>
    <w:rsid w:val="00F11B6A"/>
    <w:pPr>
      <w:spacing w:line="360" w:lineRule="auto"/>
      <w:ind w:firstLine="709"/>
    </w:pPr>
    <w:rPr>
      <w:sz w:val="22"/>
      <w:szCs w:val="22"/>
    </w:rPr>
  </w:style>
  <w:style w:type="character" w:styleId="Emphasis">
    <w:name w:val="Emphasis"/>
    <w:uiPriority w:val="20"/>
    <w:qFormat/>
    <w:rsid w:val="00A83512"/>
    <w:rPr>
      <w:i/>
      <w:iCs/>
    </w:rPr>
  </w:style>
  <w:style w:type="paragraph" w:customStyle="1" w:styleId="Tabulka">
    <w:name w:val="Tabulka"/>
    <w:basedOn w:val="BodyText"/>
    <w:rsid w:val="00F11B6A"/>
    <w:pPr>
      <w:ind w:firstLine="0"/>
    </w:pPr>
    <w:rPr>
      <w:lang w:val="cs-CZ"/>
    </w:rPr>
  </w:style>
  <w:style w:type="paragraph" w:customStyle="1" w:styleId="Nadpistabulky">
    <w:name w:val="Nadpis tabulky"/>
    <w:basedOn w:val="BodyText"/>
    <w:rsid w:val="00F11B6A"/>
    <w:pPr>
      <w:ind w:firstLine="0"/>
    </w:pPr>
    <w:rPr>
      <w:i/>
      <w:iCs/>
      <w:sz w:val="20"/>
      <w:szCs w:val="20"/>
      <w:lang w:val="cs-CZ"/>
    </w:rPr>
  </w:style>
  <w:style w:type="paragraph" w:customStyle="1" w:styleId="Nadpisobrzku">
    <w:name w:val="Nadpis obrázku"/>
    <w:basedOn w:val="Nadpistabulky"/>
    <w:rsid w:val="00F11B6A"/>
    <w:pPr>
      <w:jc w:val="center"/>
    </w:pPr>
  </w:style>
  <w:style w:type="paragraph" w:customStyle="1" w:styleId="TTPAddress">
    <w:name w:val="TTP Address"/>
    <w:basedOn w:val="Normal"/>
    <w:uiPriority w:val="99"/>
    <w:rsid w:val="006C5AA4"/>
    <w:pPr>
      <w:jc w:val="center"/>
    </w:pPr>
    <w:rPr>
      <w:rFonts w:ascii="Arial" w:eastAsia="SimSun" w:hAnsi="Arial"/>
      <w:sz w:val="22"/>
      <w:lang w:val="en-US" w:eastAsia="en-US"/>
    </w:rPr>
  </w:style>
  <w:style w:type="paragraph" w:customStyle="1" w:styleId="TTPTitle">
    <w:name w:val="TTP Title"/>
    <w:basedOn w:val="Normal"/>
    <w:next w:val="Normal"/>
    <w:uiPriority w:val="99"/>
    <w:rsid w:val="006C5AA4"/>
    <w:pPr>
      <w:spacing w:after="120"/>
      <w:jc w:val="center"/>
    </w:pPr>
    <w:rPr>
      <w:rFonts w:ascii="Arial" w:eastAsia="SimSun" w:hAnsi="Arial"/>
      <w:b/>
      <w:sz w:val="30"/>
      <w:lang w:val="en-US" w:eastAsia="en-US"/>
    </w:rPr>
  </w:style>
  <w:style w:type="paragraph" w:customStyle="1" w:styleId="TTPAbstract">
    <w:name w:val="TTP Abstract"/>
    <w:basedOn w:val="Normal"/>
    <w:next w:val="Normal"/>
    <w:uiPriority w:val="99"/>
    <w:rsid w:val="006C5AA4"/>
    <w:pPr>
      <w:spacing w:before="360"/>
    </w:pPr>
    <w:rPr>
      <w:rFonts w:eastAsia="SimSun"/>
      <w:lang w:val="en-US" w:eastAsia="en-US"/>
    </w:rPr>
  </w:style>
  <w:style w:type="paragraph" w:customStyle="1" w:styleId="TTPKeywords">
    <w:name w:val="TTP Keywords"/>
    <w:basedOn w:val="Normal"/>
    <w:next w:val="TTPAbstract"/>
    <w:uiPriority w:val="99"/>
    <w:rsid w:val="006C5AA4"/>
    <w:pPr>
      <w:spacing w:before="360"/>
    </w:pPr>
    <w:rPr>
      <w:rFonts w:ascii="Arial" w:eastAsia="SimSun" w:hAnsi="Arial"/>
      <w:sz w:val="22"/>
      <w:lang w:val="en-US" w:eastAsia="en-US"/>
    </w:rPr>
  </w:style>
  <w:style w:type="paragraph" w:customStyle="1" w:styleId="References">
    <w:name w:val="References"/>
    <w:basedOn w:val="Normal"/>
    <w:rsid w:val="006C5AA4"/>
    <w:pPr>
      <w:numPr>
        <w:numId w:val="12"/>
      </w:numPr>
    </w:pPr>
    <w:rPr>
      <w:rFonts w:eastAsia="PMingLiU"/>
      <w:sz w:val="16"/>
      <w:szCs w:val="16"/>
      <w:lang w:val="en-US" w:eastAsia="en-US"/>
    </w:rPr>
  </w:style>
  <w:style w:type="paragraph" w:customStyle="1" w:styleId="Text">
    <w:name w:val="Text"/>
    <w:basedOn w:val="Normal"/>
    <w:rsid w:val="006C5AA4"/>
    <w:pPr>
      <w:widowControl w:val="0"/>
      <w:spacing w:line="252" w:lineRule="auto"/>
      <w:ind w:firstLine="202"/>
    </w:pPr>
    <w:rPr>
      <w:rFonts w:eastAsia="PMingLiU"/>
      <w:lang w:val="en-US" w:eastAsia="en-US"/>
    </w:rPr>
  </w:style>
  <w:style w:type="paragraph" w:customStyle="1" w:styleId="ReferenceHead">
    <w:name w:val="Reference Head"/>
    <w:basedOn w:val="Heading1"/>
    <w:rsid w:val="006C5AA4"/>
    <w:pPr>
      <w:numPr>
        <w:numId w:val="0"/>
      </w:numPr>
      <w:spacing w:before="240" w:after="80"/>
      <w:jc w:val="center"/>
    </w:pPr>
    <w:rPr>
      <w:rFonts w:eastAsia="PMingLiU"/>
      <w:b w:val="0"/>
      <w:bCs w:val="0"/>
      <w:smallCaps/>
      <w:sz w:val="20"/>
      <w:szCs w:val="20"/>
      <w:lang w:eastAsia="en-US"/>
    </w:rPr>
  </w:style>
  <w:style w:type="paragraph" w:customStyle="1" w:styleId="TTPParagraphothers">
    <w:name w:val="TTP Paragraph (others)"/>
    <w:basedOn w:val="TTPParagraph1st"/>
    <w:uiPriority w:val="99"/>
    <w:unhideWhenUsed/>
    <w:rsid w:val="00B5164D"/>
    <w:pPr>
      <w:ind w:firstLine="283"/>
    </w:pPr>
  </w:style>
  <w:style w:type="paragraph" w:customStyle="1" w:styleId="TTPEquation">
    <w:name w:val="TTP Equation"/>
    <w:basedOn w:val="Normal"/>
    <w:next w:val="TTPParagraph1st"/>
    <w:uiPriority w:val="99"/>
    <w:unhideWhenUsed/>
    <w:rsid w:val="00B5164D"/>
    <w:pPr>
      <w:tabs>
        <w:tab w:val="right" w:pos="9923"/>
      </w:tabs>
      <w:spacing w:before="240" w:after="240"/>
      <w:ind w:left="284" w:right="-11"/>
    </w:pPr>
    <w:rPr>
      <w:rFonts w:eastAsia="SimSun" w:hint="eastAsia"/>
      <w:lang w:val="de-DE" w:eastAsia="en-US"/>
    </w:rPr>
  </w:style>
  <w:style w:type="paragraph" w:customStyle="1" w:styleId="TTPParagraph1st">
    <w:name w:val="TTP Paragraph (1st)"/>
    <w:basedOn w:val="Normal"/>
    <w:next w:val="TTPParagraphothers"/>
    <w:uiPriority w:val="99"/>
    <w:unhideWhenUsed/>
    <w:rsid w:val="00B5164D"/>
    <w:rPr>
      <w:rFonts w:eastAsia="SimSun" w:hint="eastAsia"/>
      <w:lang w:val="en-US" w:eastAsia="en-US"/>
    </w:rPr>
  </w:style>
  <w:style w:type="paragraph" w:customStyle="1" w:styleId="TTPSectionHeading">
    <w:name w:val="TTP Section Heading"/>
    <w:basedOn w:val="Normal"/>
    <w:next w:val="TTPParagraph1st"/>
    <w:uiPriority w:val="99"/>
    <w:unhideWhenUsed/>
    <w:rsid w:val="00B5164D"/>
    <w:pPr>
      <w:spacing w:before="360" w:after="120"/>
    </w:pPr>
    <w:rPr>
      <w:rFonts w:eastAsia="SimSun" w:hint="eastAsia"/>
      <w:b/>
      <w:lang w:val="en-US" w:eastAsia="en-US"/>
    </w:rPr>
  </w:style>
  <w:style w:type="paragraph" w:customStyle="1" w:styleId="a">
    <w:name w:val="文献"/>
    <w:basedOn w:val="Normal"/>
    <w:unhideWhenUsed/>
    <w:qFormat/>
    <w:rsid w:val="003F0014"/>
    <w:pPr>
      <w:tabs>
        <w:tab w:val="num" w:pos="432"/>
      </w:tabs>
      <w:autoSpaceDE/>
      <w:autoSpaceDN/>
      <w:spacing w:after="120" w:line="280" w:lineRule="exact"/>
      <w:ind w:left="432" w:hanging="432"/>
    </w:pPr>
    <w:rPr>
      <w:rFonts w:eastAsia="MS Mincho" w:hint="eastAsia"/>
      <w:kern w:val="2"/>
      <w:shd w:val="clear" w:color="auto" w:fill="FFFFFF"/>
      <w:lang w:val="en-US" w:eastAsia="ja-JP"/>
    </w:rPr>
  </w:style>
  <w:style w:type="table" w:styleId="TableGrid">
    <w:name w:val="Table Grid"/>
    <w:basedOn w:val="TableNormal"/>
    <w:uiPriority w:val="39"/>
    <w:rsid w:val="008209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rsid w:val="00717760"/>
    <w:rPr>
      <w:sz w:val="22"/>
      <w:szCs w:val="22"/>
      <w:lang w:val="en-US" w:eastAsia="cs-CZ"/>
    </w:rPr>
  </w:style>
  <w:style w:type="character" w:customStyle="1" w:styleId="TitleChar">
    <w:name w:val="Title Char"/>
    <w:link w:val="Title"/>
    <w:rsid w:val="007863B5"/>
    <w:rPr>
      <w:rFonts w:cs="Arial"/>
      <w:b/>
      <w:caps/>
      <w:sz w:val="32"/>
      <w:szCs w:val="32"/>
      <w:lang w:val="en-US" w:eastAsia="cs-CZ"/>
    </w:rPr>
  </w:style>
  <w:style w:type="character" w:styleId="FollowedHyperlink">
    <w:name w:val="FollowedHyperlink"/>
    <w:rsid w:val="00983159"/>
    <w:rPr>
      <w:color w:val="954F72"/>
      <w:u w:val="single"/>
    </w:rPr>
  </w:style>
  <w:style w:type="paragraph" w:customStyle="1" w:styleId="ReferencesText">
    <w:name w:val="References Text"/>
    <w:basedOn w:val="Normal"/>
    <w:rsid w:val="00983159"/>
    <w:pPr>
      <w:autoSpaceDE/>
      <w:autoSpaceDN/>
      <w:spacing w:before="0" w:after="40"/>
      <w:ind w:left="284" w:hanging="284"/>
    </w:pPr>
    <w:rPr>
      <w:sz w:val="18"/>
      <w:szCs w:val="24"/>
      <w:lang w:val="en-US" w:eastAsia="en-US"/>
    </w:rPr>
  </w:style>
  <w:style w:type="character" w:customStyle="1" w:styleId="apple-converted-space">
    <w:name w:val="apple-converted-space"/>
    <w:rsid w:val="00F0630A"/>
  </w:style>
  <w:style w:type="character" w:styleId="Strong">
    <w:name w:val="Strong"/>
    <w:uiPriority w:val="22"/>
    <w:qFormat/>
    <w:rsid w:val="00E74F90"/>
    <w:rPr>
      <w:b/>
      <w:bCs/>
    </w:rPr>
  </w:style>
  <w:style w:type="paragraph" w:styleId="BalloonText">
    <w:name w:val="Balloon Text"/>
    <w:basedOn w:val="Normal"/>
    <w:link w:val="BalloonTextChar"/>
    <w:rsid w:val="00624A54"/>
    <w:pPr>
      <w:spacing w:before="0"/>
    </w:pPr>
    <w:rPr>
      <w:rFonts w:ascii="Tahoma" w:hAnsi="Tahoma" w:cs="Tahoma"/>
      <w:sz w:val="16"/>
      <w:szCs w:val="16"/>
    </w:rPr>
  </w:style>
  <w:style w:type="character" w:customStyle="1" w:styleId="BalloonTextChar">
    <w:name w:val="Balloon Text Char"/>
    <w:basedOn w:val="DefaultParagraphFont"/>
    <w:link w:val="BalloonText"/>
    <w:rsid w:val="00624A54"/>
    <w:rPr>
      <w:rFonts w:ascii="Tahoma" w:hAnsi="Tahoma" w:cs="Tahoma"/>
      <w:sz w:val="16"/>
      <w:szCs w:val="16"/>
      <w:lang w:val="cs-CZ" w:eastAsia="cs-CZ"/>
    </w:rPr>
  </w:style>
  <w:style w:type="paragraph" w:styleId="DocumentMap">
    <w:name w:val="Document Map"/>
    <w:basedOn w:val="Normal"/>
    <w:link w:val="DocumentMapChar"/>
    <w:rsid w:val="00624A54"/>
    <w:pPr>
      <w:spacing w:before="0"/>
    </w:pPr>
    <w:rPr>
      <w:rFonts w:ascii="Tahoma" w:hAnsi="Tahoma" w:cs="Tahoma"/>
      <w:sz w:val="16"/>
      <w:szCs w:val="16"/>
    </w:rPr>
  </w:style>
  <w:style w:type="character" w:customStyle="1" w:styleId="DocumentMapChar">
    <w:name w:val="Document Map Char"/>
    <w:basedOn w:val="DefaultParagraphFont"/>
    <w:link w:val="DocumentMap"/>
    <w:rsid w:val="00624A54"/>
    <w:rPr>
      <w:rFonts w:ascii="Tahoma" w:hAnsi="Tahoma" w:cs="Tahoma"/>
      <w:sz w:val="16"/>
      <w:szCs w:val="16"/>
      <w:lang w:val="cs-CZ" w:eastAsia="cs-CZ"/>
    </w:rPr>
  </w:style>
  <w:style w:type="paragraph" w:styleId="ListParagraph">
    <w:name w:val="List Paragraph"/>
    <w:basedOn w:val="Normal"/>
    <w:uiPriority w:val="34"/>
    <w:qFormat/>
    <w:rsid w:val="004A1C97"/>
    <w:pPr>
      <w:ind w:firstLineChars="200" w:firstLine="420"/>
    </w:pPr>
  </w:style>
  <w:style w:type="character" w:customStyle="1" w:styleId="FootnoteTextChar">
    <w:name w:val="Footnote Text Char"/>
    <w:basedOn w:val="DefaultParagraphFont"/>
    <w:link w:val="FootnoteText"/>
    <w:rsid w:val="00341FCE"/>
    <w:rPr>
      <w:sz w:val="22"/>
      <w:szCs w:val="22"/>
      <w:lang w:val="cs-CZ" w:eastAsia="cs-CZ"/>
    </w:rPr>
  </w:style>
  <w:style w:type="table" w:customStyle="1" w:styleId="TableGrid1">
    <w:name w:val="Table Grid1"/>
    <w:basedOn w:val="TableNormal"/>
    <w:rsid w:val="00E12F95"/>
    <w:rPr>
      <w:rFonts w:eastAsia="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E12F95"/>
    <w:rPr>
      <w:sz w:val="22"/>
      <w:szCs w:val="22"/>
      <w:lang w:eastAsia="cs-CZ"/>
    </w:rPr>
  </w:style>
  <w:style w:type="character" w:styleId="UnresolvedMention">
    <w:name w:val="Unresolved Mention"/>
    <w:basedOn w:val="DefaultParagraphFont"/>
    <w:uiPriority w:val="99"/>
    <w:semiHidden/>
    <w:unhideWhenUsed/>
    <w:rsid w:val="004227B2"/>
    <w:rPr>
      <w:color w:val="605E5C"/>
      <w:shd w:val="clear" w:color="auto" w:fill="E1DFDD"/>
    </w:rPr>
  </w:style>
  <w:style w:type="paragraph" w:customStyle="1" w:styleId="METN">
    <w:name w:val="METİN"/>
    <w:basedOn w:val="Normal"/>
    <w:link w:val="METNChar"/>
    <w:qFormat/>
    <w:rsid w:val="00246C93"/>
    <w:pPr>
      <w:ind w:firstLine="0"/>
    </w:pPr>
    <w:rPr>
      <w:rFonts w:asciiTheme="majorBidi" w:eastAsia="SimSun" w:hAnsiTheme="majorBidi" w:cstheme="majorBidi"/>
      <w:lang w:val="en-US" w:eastAsia="en-US"/>
    </w:rPr>
  </w:style>
  <w:style w:type="character" w:customStyle="1" w:styleId="METNChar">
    <w:name w:val="METİN Char"/>
    <w:basedOn w:val="DefaultParagraphFont"/>
    <w:link w:val="METN"/>
    <w:rsid w:val="00246C93"/>
    <w:rPr>
      <w:rFonts w:asciiTheme="majorBidi" w:eastAsia="SimSun" w:hAnsiTheme="majorBidi" w:cstheme="majorBidi"/>
      <w:sz w:val="24"/>
    </w:rPr>
  </w:style>
  <w:style w:type="paragraph" w:customStyle="1" w:styleId="TABLE">
    <w:name w:val="TABLE*"/>
    <w:basedOn w:val="Nadpistabulky"/>
    <w:link w:val="TABLEChar"/>
    <w:qFormat/>
    <w:rsid w:val="00246C93"/>
    <w:rPr>
      <w:rFonts w:asciiTheme="majorBidi" w:eastAsia="Times New Roman" w:hAnsiTheme="majorBidi" w:cstheme="majorBidi"/>
      <w:lang w:val="en-GB"/>
    </w:rPr>
  </w:style>
  <w:style w:type="paragraph" w:customStyle="1" w:styleId="TABLEIN">
    <w:name w:val="TABLE IN*"/>
    <w:basedOn w:val="Tabulka"/>
    <w:link w:val="TABLEINChar"/>
    <w:qFormat/>
    <w:rsid w:val="00246C93"/>
    <w:pPr>
      <w:spacing w:before="0"/>
      <w:jc w:val="left"/>
    </w:pPr>
    <w:rPr>
      <w:rFonts w:asciiTheme="majorBidi" w:eastAsia="Times New Roman" w:hAnsiTheme="majorBidi" w:cstheme="majorBidi"/>
      <w:sz w:val="20"/>
      <w:lang w:val="en-GB"/>
    </w:rPr>
  </w:style>
  <w:style w:type="character" w:customStyle="1" w:styleId="TABLEChar">
    <w:name w:val="TABLE* Char"/>
    <w:basedOn w:val="DefaultParagraphFont"/>
    <w:link w:val="TABLE"/>
    <w:rsid w:val="00246C93"/>
    <w:rPr>
      <w:rFonts w:asciiTheme="majorBidi" w:eastAsia="Times New Roman" w:hAnsiTheme="majorBidi" w:cstheme="majorBidi"/>
      <w:i/>
      <w:iCs/>
      <w:lang w:val="en-GB" w:eastAsia="cs-CZ"/>
    </w:rPr>
  </w:style>
  <w:style w:type="character" w:customStyle="1" w:styleId="TABLEINChar">
    <w:name w:val="TABLE IN* Char"/>
    <w:basedOn w:val="DefaultParagraphFont"/>
    <w:link w:val="TABLEIN"/>
    <w:rsid w:val="00246C93"/>
    <w:rPr>
      <w:rFonts w:asciiTheme="majorBidi" w:eastAsia="Times New Roman" w:hAnsiTheme="majorBidi" w:cstheme="majorBidi"/>
      <w:szCs w:val="24"/>
      <w:lang w:val="en-GB" w:eastAsia="cs-CZ"/>
    </w:rPr>
  </w:style>
  <w:style w:type="paragraph" w:styleId="NormalWeb">
    <w:name w:val="Normal (Web)"/>
    <w:basedOn w:val="Normal"/>
    <w:uiPriority w:val="99"/>
    <w:unhideWhenUsed/>
    <w:rsid w:val="00282D23"/>
    <w:pPr>
      <w:autoSpaceDE/>
      <w:autoSpaceDN/>
      <w:spacing w:before="100" w:beforeAutospacing="1" w:after="100" w:afterAutospacing="1"/>
      <w:ind w:firstLine="0"/>
      <w:jc w:val="left"/>
    </w:pPr>
    <w:rPr>
      <w:rFonts w:eastAsia="Times New Roman"/>
      <w:color w:val="000000"/>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261314">
      <w:bodyDiv w:val="1"/>
      <w:marLeft w:val="0"/>
      <w:marRight w:val="0"/>
      <w:marTop w:val="0"/>
      <w:marBottom w:val="0"/>
      <w:divBdr>
        <w:top w:val="none" w:sz="0" w:space="0" w:color="auto"/>
        <w:left w:val="none" w:sz="0" w:space="0" w:color="auto"/>
        <w:bottom w:val="none" w:sz="0" w:space="0" w:color="auto"/>
        <w:right w:val="none" w:sz="0" w:space="0" w:color="auto"/>
      </w:divBdr>
      <w:divsChild>
        <w:div w:id="1752384657">
          <w:marLeft w:val="0"/>
          <w:marRight w:val="0"/>
          <w:marTop w:val="0"/>
          <w:marBottom w:val="0"/>
          <w:divBdr>
            <w:top w:val="none" w:sz="0" w:space="0" w:color="auto"/>
            <w:left w:val="none" w:sz="0" w:space="0" w:color="auto"/>
            <w:bottom w:val="none" w:sz="0" w:space="0" w:color="auto"/>
            <w:right w:val="none" w:sz="0" w:space="0" w:color="auto"/>
          </w:divBdr>
          <w:divsChild>
            <w:div w:id="1406025718">
              <w:marLeft w:val="0"/>
              <w:marRight w:val="0"/>
              <w:marTop w:val="0"/>
              <w:marBottom w:val="0"/>
              <w:divBdr>
                <w:top w:val="none" w:sz="0" w:space="0" w:color="auto"/>
                <w:left w:val="none" w:sz="0" w:space="0" w:color="auto"/>
                <w:bottom w:val="none" w:sz="0" w:space="0" w:color="auto"/>
                <w:right w:val="none" w:sz="0" w:space="0" w:color="auto"/>
              </w:divBdr>
              <w:divsChild>
                <w:div w:id="1435049932">
                  <w:marLeft w:val="0"/>
                  <w:marRight w:val="0"/>
                  <w:marTop w:val="0"/>
                  <w:marBottom w:val="0"/>
                  <w:divBdr>
                    <w:top w:val="none" w:sz="0" w:space="0" w:color="auto"/>
                    <w:left w:val="none" w:sz="0" w:space="0" w:color="auto"/>
                    <w:bottom w:val="none" w:sz="0" w:space="0" w:color="auto"/>
                    <w:right w:val="none" w:sz="0" w:space="0" w:color="auto"/>
                  </w:divBdr>
                  <w:divsChild>
                    <w:div w:id="1057128332">
                      <w:marLeft w:val="0"/>
                      <w:marRight w:val="0"/>
                      <w:marTop w:val="0"/>
                      <w:marBottom w:val="0"/>
                      <w:divBdr>
                        <w:top w:val="none" w:sz="0" w:space="0" w:color="auto"/>
                        <w:left w:val="none" w:sz="0" w:space="0" w:color="auto"/>
                        <w:bottom w:val="none" w:sz="0" w:space="0" w:color="auto"/>
                        <w:right w:val="none" w:sz="0" w:space="0" w:color="auto"/>
                      </w:divBdr>
                      <w:divsChild>
                        <w:div w:id="1794129796">
                          <w:marLeft w:val="0"/>
                          <w:marRight w:val="0"/>
                          <w:marTop w:val="0"/>
                          <w:marBottom w:val="0"/>
                          <w:divBdr>
                            <w:top w:val="none" w:sz="0" w:space="0" w:color="auto"/>
                            <w:left w:val="none" w:sz="0" w:space="0" w:color="auto"/>
                            <w:bottom w:val="none" w:sz="0" w:space="0" w:color="auto"/>
                            <w:right w:val="none" w:sz="0" w:space="0" w:color="auto"/>
                          </w:divBdr>
                          <w:divsChild>
                            <w:div w:id="285434316">
                              <w:marLeft w:val="0"/>
                              <w:marRight w:val="0"/>
                              <w:marTop w:val="0"/>
                              <w:marBottom w:val="0"/>
                              <w:divBdr>
                                <w:top w:val="none" w:sz="0" w:space="0" w:color="auto"/>
                                <w:left w:val="none" w:sz="0" w:space="0" w:color="auto"/>
                                <w:bottom w:val="none" w:sz="0" w:space="0" w:color="auto"/>
                                <w:right w:val="none" w:sz="0" w:space="0" w:color="auto"/>
                              </w:divBdr>
                              <w:divsChild>
                                <w:div w:id="1778914179">
                                  <w:marLeft w:val="0"/>
                                  <w:marRight w:val="0"/>
                                  <w:marTop w:val="0"/>
                                  <w:marBottom w:val="0"/>
                                  <w:divBdr>
                                    <w:top w:val="none" w:sz="0" w:space="0" w:color="auto"/>
                                    <w:left w:val="none" w:sz="0" w:space="0" w:color="auto"/>
                                    <w:bottom w:val="none" w:sz="0" w:space="0" w:color="auto"/>
                                    <w:right w:val="none" w:sz="0" w:space="0" w:color="auto"/>
                                  </w:divBdr>
                                  <w:divsChild>
                                    <w:div w:id="1732771983">
                                      <w:marLeft w:val="0"/>
                                      <w:marRight w:val="0"/>
                                      <w:marTop w:val="0"/>
                                      <w:marBottom w:val="0"/>
                                      <w:divBdr>
                                        <w:top w:val="none" w:sz="0" w:space="0" w:color="auto"/>
                                        <w:left w:val="none" w:sz="0" w:space="0" w:color="auto"/>
                                        <w:bottom w:val="none" w:sz="0" w:space="0" w:color="auto"/>
                                        <w:right w:val="none" w:sz="0" w:space="0" w:color="auto"/>
                                      </w:divBdr>
                                      <w:divsChild>
                                        <w:div w:id="1999839027">
                                          <w:marLeft w:val="0"/>
                                          <w:marRight w:val="0"/>
                                          <w:marTop w:val="0"/>
                                          <w:marBottom w:val="0"/>
                                          <w:divBdr>
                                            <w:top w:val="none" w:sz="0" w:space="0" w:color="auto"/>
                                            <w:left w:val="none" w:sz="0" w:space="0" w:color="auto"/>
                                            <w:bottom w:val="none" w:sz="0" w:space="0" w:color="auto"/>
                                            <w:right w:val="none" w:sz="0" w:space="0" w:color="auto"/>
                                          </w:divBdr>
                                          <w:divsChild>
                                            <w:div w:id="1940138190">
                                              <w:marLeft w:val="0"/>
                                              <w:marRight w:val="0"/>
                                              <w:marTop w:val="0"/>
                                              <w:marBottom w:val="0"/>
                                              <w:divBdr>
                                                <w:top w:val="none" w:sz="0" w:space="0" w:color="auto"/>
                                                <w:left w:val="none" w:sz="0" w:space="0" w:color="auto"/>
                                                <w:bottom w:val="none" w:sz="0" w:space="0" w:color="auto"/>
                                                <w:right w:val="none" w:sz="0" w:space="0" w:color="auto"/>
                                              </w:divBdr>
                                              <w:divsChild>
                                                <w:div w:id="2054306496">
                                                  <w:marLeft w:val="0"/>
                                                  <w:marRight w:val="0"/>
                                                  <w:marTop w:val="0"/>
                                                  <w:marBottom w:val="0"/>
                                                  <w:divBdr>
                                                    <w:top w:val="none" w:sz="0" w:space="0" w:color="auto"/>
                                                    <w:left w:val="none" w:sz="0" w:space="0" w:color="auto"/>
                                                    <w:bottom w:val="none" w:sz="0" w:space="0" w:color="auto"/>
                                                    <w:right w:val="none" w:sz="0" w:space="0" w:color="auto"/>
                                                  </w:divBdr>
                                                  <w:divsChild>
                                                    <w:div w:id="1380471246">
                                                      <w:marLeft w:val="0"/>
                                                      <w:marRight w:val="0"/>
                                                      <w:marTop w:val="0"/>
                                                      <w:marBottom w:val="0"/>
                                                      <w:divBdr>
                                                        <w:top w:val="none" w:sz="0" w:space="0" w:color="auto"/>
                                                        <w:left w:val="none" w:sz="0" w:space="0" w:color="auto"/>
                                                        <w:bottom w:val="none" w:sz="0" w:space="0" w:color="auto"/>
                                                        <w:right w:val="none" w:sz="0" w:space="0" w:color="auto"/>
                                                      </w:divBdr>
                                                      <w:divsChild>
                                                        <w:div w:id="2078430156">
                                                          <w:marLeft w:val="0"/>
                                                          <w:marRight w:val="0"/>
                                                          <w:marTop w:val="0"/>
                                                          <w:marBottom w:val="0"/>
                                                          <w:divBdr>
                                                            <w:top w:val="none" w:sz="0" w:space="0" w:color="auto"/>
                                                            <w:left w:val="none" w:sz="0" w:space="0" w:color="auto"/>
                                                            <w:bottom w:val="none" w:sz="0" w:space="0" w:color="auto"/>
                                                            <w:right w:val="none" w:sz="0" w:space="0" w:color="auto"/>
                                                          </w:divBdr>
                                                          <w:divsChild>
                                                            <w:div w:id="948782742">
                                                              <w:marLeft w:val="0"/>
                                                              <w:marRight w:val="0"/>
                                                              <w:marTop w:val="0"/>
                                                              <w:marBottom w:val="0"/>
                                                              <w:divBdr>
                                                                <w:top w:val="none" w:sz="0" w:space="0" w:color="auto"/>
                                                                <w:left w:val="none" w:sz="0" w:space="0" w:color="auto"/>
                                                                <w:bottom w:val="none" w:sz="0" w:space="0" w:color="auto"/>
                                                                <w:right w:val="none" w:sz="0" w:space="0" w:color="auto"/>
                                                              </w:divBdr>
                                                              <w:divsChild>
                                                                <w:div w:id="173307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05087640">
      <w:bodyDiv w:val="1"/>
      <w:marLeft w:val="0"/>
      <w:marRight w:val="0"/>
      <w:marTop w:val="0"/>
      <w:marBottom w:val="0"/>
      <w:divBdr>
        <w:top w:val="none" w:sz="0" w:space="0" w:color="auto"/>
        <w:left w:val="none" w:sz="0" w:space="0" w:color="auto"/>
        <w:bottom w:val="none" w:sz="0" w:space="0" w:color="auto"/>
        <w:right w:val="none" w:sz="0" w:space="0" w:color="auto"/>
      </w:divBdr>
      <w:divsChild>
        <w:div w:id="1338114619">
          <w:marLeft w:val="0"/>
          <w:marRight w:val="0"/>
          <w:marTop w:val="0"/>
          <w:marBottom w:val="0"/>
          <w:divBdr>
            <w:top w:val="none" w:sz="0" w:space="0" w:color="auto"/>
            <w:left w:val="none" w:sz="0" w:space="0" w:color="auto"/>
            <w:bottom w:val="none" w:sz="0" w:space="0" w:color="auto"/>
            <w:right w:val="none" w:sz="0" w:space="0" w:color="auto"/>
          </w:divBdr>
          <w:divsChild>
            <w:div w:id="522978690">
              <w:marLeft w:val="0"/>
              <w:marRight w:val="0"/>
              <w:marTop w:val="0"/>
              <w:marBottom w:val="0"/>
              <w:divBdr>
                <w:top w:val="none" w:sz="0" w:space="0" w:color="auto"/>
                <w:left w:val="none" w:sz="0" w:space="0" w:color="auto"/>
                <w:bottom w:val="none" w:sz="0" w:space="0" w:color="auto"/>
                <w:right w:val="none" w:sz="0" w:space="0" w:color="auto"/>
              </w:divBdr>
              <w:divsChild>
                <w:div w:id="1574119124">
                  <w:marLeft w:val="0"/>
                  <w:marRight w:val="0"/>
                  <w:marTop w:val="0"/>
                  <w:marBottom w:val="0"/>
                  <w:divBdr>
                    <w:top w:val="none" w:sz="0" w:space="0" w:color="auto"/>
                    <w:left w:val="none" w:sz="0" w:space="0" w:color="auto"/>
                    <w:bottom w:val="none" w:sz="0" w:space="0" w:color="auto"/>
                    <w:right w:val="none" w:sz="0" w:space="0" w:color="auto"/>
                  </w:divBdr>
                  <w:divsChild>
                    <w:div w:id="1743984774">
                      <w:marLeft w:val="0"/>
                      <w:marRight w:val="0"/>
                      <w:marTop w:val="0"/>
                      <w:marBottom w:val="0"/>
                      <w:divBdr>
                        <w:top w:val="none" w:sz="0" w:space="0" w:color="auto"/>
                        <w:left w:val="none" w:sz="0" w:space="0" w:color="auto"/>
                        <w:bottom w:val="none" w:sz="0" w:space="0" w:color="auto"/>
                        <w:right w:val="none" w:sz="0" w:space="0" w:color="auto"/>
                      </w:divBdr>
                      <w:divsChild>
                        <w:div w:id="654141443">
                          <w:marLeft w:val="0"/>
                          <w:marRight w:val="0"/>
                          <w:marTop w:val="0"/>
                          <w:marBottom w:val="0"/>
                          <w:divBdr>
                            <w:top w:val="none" w:sz="0" w:space="0" w:color="auto"/>
                            <w:left w:val="none" w:sz="0" w:space="0" w:color="auto"/>
                            <w:bottom w:val="none" w:sz="0" w:space="0" w:color="auto"/>
                            <w:right w:val="none" w:sz="0" w:space="0" w:color="auto"/>
                          </w:divBdr>
                          <w:divsChild>
                            <w:div w:id="1866290079">
                              <w:marLeft w:val="0"/>
                              <w:marRight w:val="0"/>
                              <w:marTop w:val="0"/>
                              <w:marBottom w:val="0"/>
                              <w:divBdr>
                                <w:top w:val="none" w:sz="0" w:space="0" w:color="auto"/>
                                <w:left w:val="none" w:sz="0" w:space="0" w:color="auto"/>
                                <w:bottom w:val="none" w:sz="0" w:space="0" w:color="auto"/>
                                <w:right w:val="none" w:sz="0" w:space="0" w:color="auto"/>
                              </w:divBdr>
                              <w:divsChild>
                                <w:div w:id="182786466">
                                  <w:marLeft w:val="0"/>
                                  <w:marRight w:val="0"/>
                                  <w:marTop w:val="0"/>
                                  <w:marBottom w:val="0"/>
                                  <w:divBdr>
                                    <w:top w:val="none" w:sz="0" w:space="0" w:color="auto"/>
                                    <w:left w:val="none" w:sz="0" w:space="0" w:color="auto"/>
                                    <w:bottom w:val="none" w:sz="0" w:space="0" w:color="auto"/>
                                    <w:right w:val="none" w:sz="0" w:space="0" w:color="auto"/>
                                  </w:divBdr>
                                  <w:divsChild>
                                    <w:div w:id="773748684">
                                      <w:marLeft w:val="0"/>
                                      <w:marRight w:val="0"/>
                                      <w:marTop w:val="0"/>
                                      <w:marBottom w:val="0"/>
                                      <w:divBdr>
                                        <w:top w:val="none" w:sz="0" w:space="0" w:color="auto"/>
                                        <w:left w:val="none" w:sz="0" w:space="0" w:color="auto"/>
                                        <w:bottom w:val="none" w:sz="0" w:space="0" w:color="auto"/>
                                        <w:right w:val="none" w:sz="0" w:space="0" w:color="auto"/>
                                      </w:divBdr>
                                      <w:divsChild>
                                        <w:div w:id="108400045">
                                          <w:marLeft w:val="0"/>
                                          <w:marRight w:val="0"/>
                                          <w:marTop w:val="0"/>
                                          <w:marBottom w:val="0"/>
                                          <w:divBdr>
                                            <w:top w:val="none" w:sz="0" w:space="0" w:color="auto"/>
                                            <w:left w:val="none" w:sz="0" w:space="0" w:color="auto"/>
                                            <w:bottom w:val="none" w:sz="0" w:space="0" w:color="auto"/>
                                            <w:right w:val="none" w:sz="0" w:space="0" w:color="auto"/>
                                          </w:divBdr>
                                          <w:divsChild>
                                            <w:div w:id="518541925">
                                              <w:marLeft w:val="0"/>
                                              <w:marRight w:val="0"/>
                                              <w:marTop w:val="0"/>
                                              <w:marBottom w:val="0"/>
                                              <w:divBdr>
                                                <w:top w:val="none" w:sz="0" w:space="0" w:color="auto"/>
                                                <w:left w:val="none" w:sz="0" w:space="0" w:color="auto"/>
                                                <w:bottom w:val="none" w:sz="0" w:space="0" w:color="auto"/>
                                                <w:right w:val="none" w:sz="0" w:space="0" w:color="auto"/>
                                              </w:divBdr>
                                              <w:divsChild>
                                                <w:div w:id="10080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28870827">
      <w:bodyDiv w:val="1"/>
      <w:marLeft w:val="0"/>
      <w:marRight w:val="0"/>
      <w:marTop w:val="0"/>
      <w:marBottom w:val="0"/>
      <w:divBdr>
        <w:top w:val="none" w:sz="0" w:space="0" w:color="auto"/>
        <w:left w:val="none" w:sz="0" w:space="0" w:color="auto"/>
        <w:bottom w:val="none" w:sz="0" w:space="0" w:color="auto"/>
        <w:right w:val="none" w:sz="0" w:space="0" w:color="auto"/>
      </w:divBdr>
    </w:div>
    <w:div w:id="624964912">
      <w:bodyDiv w:val="1"/>
      <w:marLeft w:val="0"/>
      <w:marRight w:val="0"/>
      <w:marTop w:val="0"/>
      <w:marBottom w:val="0"/>
      <w:divBdr>
        <w:top w:val="none" w:sz="0" w:space="0" w:color="auto"/>
        <w:left w:val="none" w:sz="0" w:space="0" w:color="auto"/>
        <w:bottom w:val="none" w:sz="0" w:space="0" w:color="auto"/>
        <w:right w:val="none" w:sz="0" w:space="0" w:color="auto"/>
      </w:divBdr>
      <w:divsChild>
        <w:div w:id="477888726">
          <w:marLeft w:val="0"/>
          <w:marRight w:val="0"/>
          <w:marTop w:val="0"/>
          <w:marBottom w:val="0"/>
          <w:divBdr>
            <w:top w:val="none" w:sz="0" w:space="0" w:color="auto"/>
            <w:left w:val="none" w:sz="0" w:space="0" w:color="auto"/>
            <w:bottom w:val="none" w:sz="0" w:space="0" w:color="auto"/>
            <w:right w:val="none" w:sz="0" w:space="0" w:color="auto"/>
          </w:divBdr>
          <w:divsChild>
            <w:div w:id="480737372">
              <w:marLeft w:val="0"/>
              <w:marRight w:val="0"/>
              <w:marTop w:val="0"/>
              <w:marBottom w:val="0"/>
              <w:divBdr>
                <w:top w:val="none" w:sz="0" w:space="0" w:color="auto"/>
                <w:left w:val="none" w:sz="0" w:space="0" w:color="auto"/>
                <w:bottom w:val="none" w:sz="0" w:space="0" w:color="auto"/>
                <w:right w:val="none" w:sz="0" w:space="0" w:color="auto"/>
              </w:divBdr>
              <w:divsChild>
                <w:div w:id="1398749882">
                  <w:marLeft w:val="0"/>
                  <w:marRight w:val="0"/>
                  <w:marTop w:val="0"/>
                  <w:marBottom w:val="0"/>
                  <w:divBdr>
                    <w:top w:val="none" w:sz="0" w:space="0" w:color="auto"/>
                    <w:left w:val="none" w:sz="0" w:space="0" w:color="auto"/>
                    <w:bottom w:val="none" w:sz="0" w:space="0" w:color="auto"/>
                    <w:right w:val="none" w:sz="0" w:space="0" w:color="auto"/>
                  </w:divBdr>
                  <w:divsChild>
                    <w:div w:id="1842313056">
                      <w:marLeft w:val="0"/>
                      <w:marRight w:val="0"/>
                      <w:marTop w:val="0"/>
                      <w:marBottom w:val="0"/>
                      <w:divBdr>
                        <w:top w:val="none" w:sz="0" w:space="0" w:color="auto"/>
                        <w:left w:val="none" w:sz="0" w:space="0" w:color="auto"/>
                        <w:bottom w:val="none" w:sz="0" w:space="0" w:color="auto"/>
                        <w:right w:val="none" w:sz="0" w:space="0" w:color="auto"/>
                      </w:divBdr>
                      <w:divsChild>
                        <w:div w:id="1179126137">
                          <w:marLeft w:val="0"/>
                          <w:marRight w:val="0"/>
                          <w:marTop w:val="0"/>
                          <w:marBottom w:val="0"/>
                          <w:divBdr>
                            <w:top w:val="none" w:sz="0" w:space="0" w:color="auto"/>
                            <w:left w:val="none" w:sz="0" w:space="0" w:color="auto"/>
                            <w:bottom w:val="none" w:sz="0" w:space="0" w:color="auto"/>
                            <w:right w:val="none" w:sz="0" w:space="0" w:color="auto"/>
                          </w:divBdr>
                          <w:divsChild>
                            <w:div w:id="1607811489">
                              <w:marLeft w:val="0"/>
                              <w:marRight w:val="0"/>
                              <w:marTop w:val="0"/>
                              <w:marBottom w:val="0"/>
                              <w:divBdr>
                                <w:top w:val="none" w:sz="0" w:space="0" w:color="auto"/>
                                <w:left w:val="none" w:sz="0" w:space="0" w:color="auto"/>
                                <w:bottom w:val="none" w:sz="0" w:space="0" w:color="auto"/>
                                <w:right w:val="none" w:sz="0" w:space="0" w:color="auto"/>
                              </w:divBdr>
                              <w:divsChild>
                                <w:div w:id="245504358">
                                  <w:marLeft w:val="0"/>
                                  <w:marRight w:val="0"/>
                                  <w:marTop w:val="0"/>
                                  <w:marBottom w:val="0"/>
                                  <w:divBdr>
                                    <w:top w:val="none" w:sz="0" w:space="0" w:color="auto"/>
                                    <w:left w:val="none" w:sz="0" w:space="0" w:color="auto"/>
                                    <w:bottom w:val="none" w:sz="0" w:space="0" w:color="auto"/>
                                    <w:right w:val="none" w:sz="0" w:space="0" w:color="auto"/>
                                  </w:divBdr>
                                  <w:divsChild>
                                    <w:div w:id="1223445029">
                                      <w:marLeft w:val="0"/>
                                      <w:marRight w:val="0"/>
                                      <w:marTop w:val="0"/>
                                      <w:marBottom w:val="0"/>
                                      <w:divBdr>
                                        <w:top w:val="none" w:sz="0" w:space="0" w:color="auto"/>
                                        <w:left w:val="none" w:sz="0" w:space="0" w:color="auto"/>
                                        <w:bottom w:val="none" w:sz="0" w:space="0" w:color="auto"/>
                                        <w:right w:val="none" w:sz="0" w:space="0" w:color="auto"/>
                                      </w:divBdr>
                                      <w:divsChild>
                                        <w:div w:id="312562459">
                                          <w:marLeft w:val="0"/>
                                          <w:marRight w:val="0"/>
                                          <w:marTop w:val="0"/>
                                          <w:marBottom w:val="0"/>
                                          <w:divBdr>
                                            <w:top w:val="none" w:sz="0" w:space="0" w:color="auto"/>
                                            <w:left w:val="none" w:sz="0" w:space="0" w:color="auto"/>
                                            <w:bottom w:val="none" w:sz="0" w:space="0" w:color="auto"/>
                                            <w:right w:val="none" w:sz="0" w:space="0" w:color="auto"/>
                                          </w:divBdr>
                                          <w:divsChild>
                                            <w:div w:id="1211770286">
                                              <w:marLeft w:val="0"/>
                                              <w:marRight w:val="0"/>
                                              <w:marTop w:val="0"/>
                                              <w:marBottom w:val="0"/>
                                              <w:divBdr>
                                                <w:top w:val="none" w:sz="0" w:space="0" w:color="auto"/>
                                                <w:left w:val="none" w:sz="0" w:space="0" w:color="auto"/>
                                                <w:bottom w:val="none" w:sz="0" w:space="0" w:color="auto"/>
                                                <w:right w:val="none" w:sz="0" w:space="0" w:color="auto"/>
                                              </w:divBdr>
                                              <w:divsChild>
                                                <w:div w:id="133838123">
                                                  <w:marLeft w:val="0"/>
                                                  <w:marRight w:val="0"/>
                                                  <w:marTop w:val="0"/>
                                                  <w:marBottom w:val="0"/>
                                                  <w:divBdr>
                                                    <w:top w:val="none" w:sz="0" w:space="0" w:color="auto"/>
                                                    <w:left w:val="none" w:sz="0" w:space="0" w:color="auto"/>
                                                    <w:bottom w:val="none" w:sz="0" w:space="0" w:color="auto"/>
                                                    <w:right w:val="none" w:sz="0" w:space="0" w:color="auto"/>
                                                  </w:divBdr>
                                                  <w:divsChild>
                                                    <w:div w:id="2092845098">
                                                      <w:marLeft w:val="0"/>
                                                      <w:marRight w:val="0"/>
                                                      <w:marTop w:val="0"/>
                                                      <w:marBottom w:val="0"/>
                                                      <w:divBdr>
                                                        <w:top w:val="none" w:sz="0" w:space="0" w:color="auto"/>
                                                        <w:left w:val="none" w:sz="0" w:space="0" w:color="auto"/>
                                                        <w:bottom w:val="none" w:sz="0" w:space="0" w:color="auto"/>
                                                        <w:right w:val="none" w:sz="0" w:space="0" w:color="auto"/>
                                                      </w:divBdr>
                                                      <w:divsChild>
                                                        <w:div w:id="158542377">
                                                          <w:marLeft w:val="0"/>
                                                          <w:marRight w:val="0"/>
                                                          <w:marTop w:val="0"/>
                                                          <w:marBottom w:val="0"/>
                                                          <w:divBdr>
                                                            <w:top w:val="none" w:sz="0" w:space="0" w:color="auto"/>
                                                            <w:left w:val="none" w:sz="0" w:space="0" w:color="auto"/>
                                                            <w:bottom w:val="none" w:sz="0" w:space="0" w:color="auto"/>
                                                            <w:right w:val="none" w:sz="0" w:space="0" w:color="auto"/>
                                                          </w:divBdr>
                                                          <w:divsChild>
                                                            <w:div w:id="224537570">
                                                              <w:marLeft w:val="0"/>
                                                              <w:marRight w:val="0"/>
                                                              <w:marTop w:val="0"/>
                                                              <w:marBottom w:val="0"/>
                                                              <w:divBdr>
                                                                <w:top w:val="none" w:sz="0" w:space="0" w:color="auto"/>
                                                                <w:left w:val="none" w:sz="0" w:space="0" w:color="auto"/>
                                                                <w:bottom w:val="none" w:sz="0" w:space="0" w:color="auto"/>
                                                                <w:right w:val="none" w:sz="0" w:space="0" w:color="auto"/>
                                                              </w:divBdr>
                                                              <w:divsChild>
                                                                <w:div w:id="1811745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687878352">
      <w:bodyDiv w:val="1"/>
      <w:marLeft w:val="0"/>
      <w:marRight w:val="0"/>
      <w:marTop w:val="0"/>
      <w:marBottom w:val="0"/>
      <w:divBdr>
        <w:top w:val="none" w:sz="0" w:space="0" w:color="auto"/>
        <w:left w:val="none" w:sz="0" w:space="0" w:color="auto"/>
        <w:bottom w:val="none" w:sz="0" w:space="0" w:color="auto"/>
        <w:right w:val="none" w:sz="0" w:space="0" w:color="auto"/>
      </w:divBdr>
    </w:div>
    <w:div w:id="765155341">
      <w:bodyDiv w:val="1"/>
      <w:marLeft w:val="0"/>
      <w:marRight w:val="0"/>
      <w:marTop w:val="0"/>
      <w:marBottom w:val="0"/>
      <w:divBdr>
        <w:top w:val="none" w:sz="0" w:space="0" w:color="auto"/>
        <w:left w:val="none" w:sz="0" w:space="0" w:color="auto"/>
        <w:bottom w:val="none" w:sz="0" w:space="0" w:color="auto"/>
        <w:right w:val="none" w:sz="0" w:space="0" w:color="auto"/>
      </w:divBdr>
      <w:divsChild>
        <w:div w:id="744836779">
          <w:marLeft w:val="0"/>
          <w:marRight w:val="0"/>
          <w:marTop w:val="0"/>
          <w:marBottom w:val="0"/>
          <w:divBdr>
            <w:top w:val="none" w:sz="0" w:space="0" w:color="auto"/>
            <w:left w:val="none" w:sz="0" w:space="0" w:color="auto"/>
            <w:bottom w:val="none" w:sz="0" w:space="0" w:color="auto"/>
            <w:right w:val="none" w:sz="0" w:space="0" w:color="auto"/>
          </w:divBdr>
          <w:divsChild>
            <w:div w:id="202061802">
              <w:marLeft w:val="0"/>
              <w:marRight w:val="0"/>
              <w:marTop w:val="0"/>
              <w:marBottom w:val="0"/>
              <w:divBdr>
                <w:top w:val="none" w:sz="0" w:space="0" w:color="auto"/>
                <w:left w:val="none" w:sz="0" w:space="0" w:color="auto"/>
                <w:bottom w:val="none" w:sz="0" w:space="0" w:color="auto"/>
                <w:right w:val="none" w:sz="0" w:space="0" w:color="auto"/>
              </w:divBdr>
            </w:div>
            <w:div w:id="333339603">
              <w:marLeft w:val="0"/>
              <w:marRight w:val="0"/>
              <w:marTop w:val="0"/>
              <w:marBottom w:val="0"/>
              <w:divBdr>
                <w:top w:val="none" w:sz="0" w:space="0" w:color="auto"/>
                <w:left w:val="none" w:sz="0" w:space="0" w:color="auto"/>
                <w:bottom w:val="none" w:sz="0" w:space="0" w:color="auto"/>
                <w:right w:val="none" w:sz="0" w:space="0" w:color="auto"/>
              </w:divBdr>
            </w:div>
            <w:div w:id="382173163">
              <w:marLeft w:val="0"/>
              <w:marRight w:val="0"/>
              <w:marTop w:val="0"/>
              <w:marBottom w:val="0"/>
              <w:divBdr>
                <w:top w:val="none" w:sz="0" w:space="0" w:color="auto"/>
                <w:left w:val="none" w:sz="0" w:space="0" w:color="auto"/>
                <w:bottom w:val="none" w:sz="0" w:space="0" w:color="auto"/>
                <w:right w:val="none" w:sz="0" w:space="0" w:color="auto"/>
              </w:divBdr>
            </w:div>
            <w:div w:id="650671130">
              <w:marLeft w:val="0"/>
              <w:marRight w:val="0"/>
              <w:marTop w:val="0"/>
              <w:marBottom w:val="0"/>
              <w:divBdr>
                <w:top w:val="none" w:sz="0" w:space="0" w:color="auto"/>
                <w:left w:val="none" w:sz="0" w:space="0" w:color="auto"/>
                <w:bottom w:val="none" w:sz="0" w:space="0" w:color="auto"/>
                <w:right w:val="none" w:sz="0" w:space="0" w:color="auto"/>
              </w:divBdr>
            </w:div>
            <w:div w:id="972445092">
              <w:marLeft w:val="0"/>
              <w:marRight w:val="0"/>
              <w:marTop w:val="0"/>
              <w:marBottom w:val="0"/>
              <w:divBdr>
                <w:top w:val="none" w:sz="0" w:space="0" w:color="auto"/>
                <w:left w:val="none" w:sz="0" w:space="0" w:color="auto"/>
                <w:bottom w:val="none" w:sz="0" w:space="0" w:color="auto"/>
                <w:right w:val="none" w:sz="0" w:space="0" w:color="auto"/>
              </w:divBdr>
            </w:div>
            <w:div w:id="1169908568">
              <w:marLeft w:val="0"/>
              <w:marRight w:val="0"/>
              <w:marTop w:val="0"/>
              <w:marBottom w:val="0"/>
              <w:divBdr>
                <w:top w:val="none" w:sz="0" w:space="0" w:color="auto"/>
                <w:left w:val="none" w:sz="0" w:space="0" w:color="auto"/>
                <w:bottom w:val="none" w:sz="0" w:space="0" w:color="auto"/>
                <w:right w:val="none" w:sz="0" w:space="0" w:color="auto"/>
              </w:divBdr>
            </w:div>
            <w:div w:id="1273585953">
              <w:marLeft w:val="0"/>
              <w:marRight w:val="0"/>
              <w:marTop w:val="0"/>
              <w:marBottom w:val="0"/>
              <w:divBdr>
                <w:top w:val="none" w:sz="0" w:space="0" w:color="auto"/>
                <w:left w:val="none" w:sz="0" w:space="0" w:color="auto"/>
                <w:bottom w:val="none" w:sz="0" w:space="0" w:color="auto"/>
                <w:right w:val="none" w:sz="0" w:space="0" w:color="auto"/>
              </w:divBdr>
            </w:div>
            <w:div w:id="1544829058">
              <w:marLeft w:val="0"/>
              <w:marRight w:val="0"/>
              <w:marTop w:val="0"/>
              <w:marBottom w:val="0"/>
              <w:divBdr>
                <w:top w:val="none" w:sz="0" w:space="0" w:color="auto"/>
                <w:left w:val="none" w:sz="0" w:space="0" w:color="auto"/>
                <w:bottom w:val="none" w:sz="0" w:space="0" w:color="auto"/>
                <w:right w:val="none" w:sz="0" w:space="0" w:color="auto"/>
              </w:divBdr>
            </w:div>
            <w:div w:id="1716851275">
              <w:marLeft w:val="0"/>
              <w:marRight w:val="0"/>
              <w:marTop w:val="0"/>
              <w:marBottom w:val="0"/>
              <w:divBdr>
                <w:top w:val="none" w:sz="0" w:space="0" w:color="auto"/>
                <w:left w:val="none" w:sz="0" w:space="0" w:color="auto"/>
                <w:bottom w:val="none" w:sz="0" w:space="0" w:color="auto"/>
                <w:right w:val="none" w:sz="0" w:space="0" w:color="auto"/>
              </w:divBdr>
            </w:div>
          </w:divsChild>
        </w:div>
        <w:div w:id="1141463261">
          <w:marLeft w:val="0"/>
          <w:marRight w:val="0"/>
          <w:marTop w:val="0"/>
          <w:marBottom w:val="0"/>
          <w:divBdr>
            <w:top w:val="none" w:sz="0" w:space="0" w:color="auto"/>
            <w:left w:val="none" w:sz="0" w:space="0" w:color="auto"/>
            <w:bottom w:val="none" w:sz="0" w:space="0" w:color="auto"/>
            <w:right w:val="none" w:sz="0" w:space="0" w:color="auto"/>
          </w:divBdr>
          <w:divsChild>
            <w:div w:id="155269452">
              <w:marLeft w:val="0"/>
              <w:marRight w:val="0"/>
              <w:marTop w:val="0"/>
              <w:marBottom w:val="0"/>
              <w:divBdr>
                <w:top w:val="none" w:sz="0" w:space="0" w:color="auto"/>
                <w:left w:val="none" w:sz="0" w:space="0" w:color="auto"/>
                <w:bottom w:val="none" w:sz="0" w:space="0" w:color="auto"/>
                <w:right w:val="none" w:sz="0" w:space="0" w:color="auto"/>
              </w:divBdr>
            </w:div>
            <w:div w:id="258106035">
              <w:marLeft w:val="0"/>
              <w:marRight w:val="0"/>
              <w:marTop w:val="0"/>
              <w:marBottom w:val="0"/>
              <w:divBdr>
                <w:top w:val="none" w:sz="0" w:space="0" w:color="auto"/>
                <w:left w:val="none" w:sz="0" w:space="0" w:color="auto"/>
                <w:bottom w:val="none" w:sz="0" w:space="0" w:color="auto"/>
                <w:right w:val="none" w:sz="0" w:space="0" w:color="auto"/>
              </w:divBdr>
            </w:div>
            <w:div w:id="503320469">
              <w:marLeft w:val="0"/>
              <w:marRight w:val="0"/>
              <w:marTop w:val="0"/>
              <w:marBottom w:val="0"/>
              <w:divBdr>
                <w:top w:val="none" w:sz="0" w:space="0" w:color="auto"/>
                <w:left w:val="none" w:sz="0" w:space="0" w:color="auto"/>
                <w:bottom w:val="none" w:sz="0" w:space="0" w:color="auto"/>
                <w:right w:val="none" w:sz="0" w:space="0" w:color="auto"/>
              </w:divBdr>
            </w:div>
            <w:div w:id="600332288">
              <w:marLeft w:val="0"/>
              <w:marRight w:val="0"/>
              <w:marTop w:val="0"/>
              <w:marBottom w:val="0"/>
              <w:divBdr>
                <w:top w:val="none" w:sz="0" w:space="0" w:color="auto"/>
                <w:left w:val="none" w:sz="0" w:space="0" w:color="auto"/>
                <w:bottom w:val="none" w:sz="0" w:space="0" w:color="auto"/>
                <w:right w:val="none" w:sz="0" w:space="0" w:color="auto"/>
              </w:divBdr>
            </w:div>
            <w:div w:id="847408952">
              <w:marLeft w:val="0"/>
              <w:marRight w:val="0"/>
              <w:marTop w:val="0"/>
              <w:marBottom w:val="0"/>
              <w:divBdr>
                <w:top w:val="none" w:sz="0" w:space="0" w:color="auto"/>
                <w:left w:val="none" w:sz="0" w:space="0" w:color="auto"/>
                <w:bottom w:val="none" w:sz="0" w:space="0" w:color="auto"/>
                <w:right w:val="none" w:sz="0" w:space="0" w:color="auto"/>
              </w:divBdr>
            </w:div>
            <w:div w:id="1592738812">
              <w:marLeft w:val="0"/>
              <w:marRight w:val="0"/>
              <w:marTop w:val="0"/>
              <w:marBottom w:val="0"/>
              <w:divBdr>
                <w:top w:val="none" w:sz="0" w:space="0" w:color="auto"/>
                <w:left w:val="none" w:sz="0" w:space="0" w:color="auto"/>
                <w:bottom w:val="none" w:sz="0" w:space="0" w:color="auto"/>
                <w:right w:val="none" w:sz="0" w:space="0" w:color="auto"/>
              </w:divBdr>
            </w:div>
            <w:div w:id="1732730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111958">
      <w:bodyDiv w:val="1"/>
      <w:marLeft w:val="0"/>
      <w:marRight w:val="0"/>
      <w:marTop w:val="0"/>
      <w:marBottom w:val="0"/>
      <w:divBdr>
        <w:top w:val="none" w:sz="0" w:space="0" w:color="auto"/>
        <w:left w:val="none" w:sz="0" w:space="0" w:color="auto"/>
        <w:bottom w:val="none" w:sz="0" w:space="0" w:color="auto"/>
        <w:right w:val="none" w:sz="0" w:space="0" w:color="auto"/>
      </w:divBdr>
      <w:divsChild>
        <w:div w:id="1517577558">
          <w:marLeft w:val="0"/>
          <w:marRight w:val="0"/>
          <w:marTop w:val="0"/>
          <w:marBottom w:val="0"/>
          <w:divBdr>
            <w:top w:val="none" w:sz="0" w:space="0" w:color="auto"/>
            <w:left w:val="none" w:sz="0" w:space="0" w:color="auto"/>
            <w:bottom w:val="none" w:sz="0" w:space="0" w:color="auto"/>
            <w:right w:val="none" w:sz="0" w:space="0" w:color="auto"/>
          </w:divBdr>
          <w:divsChild>
            <w:div w:id="979504628">
              <w:marLeft w:val="0"/>
              <w:marRight w:val="0"/>
              <w:marTop w:val="0"/>
              <w:marBottom w:val="0"/>
              <w:divBdr>
                <w:top w:val="none" w:sz="0" w:space="0" w:color="auto"/>
                <w:left w:val="none" w:sz="0" w:space="0" w:color="auto"/>
                <w:bottom w:val="none" w:sz="0" w:space="0" w:color="auto"/>
                <w:right w:val="none" w:sz="0" w:space="0" w:color="auto"/>
              </w:divBdr>
              <w:divsChild>
                <w:div w:id="1976830698">
                  <w:marLeft w:val="0"/>
                  <w:marRight w:val="0"/>
                  <w:marTop w:val="0"/>
                  <w:marBottom w:val="0"/>
                  <w:divBdr>
                    <w:top w:val="none" w:sz="0" w:space="0" w:color="auto"/>
                    <w:left w:val="none" w:sz="0" w:space="0" w:color="auto"/>
                    <w:bottom w:val="none" w:sz="0" w:space="0" w:color="auto"/>
                    <w:right w:val="none" w:sz="0" w:space="0" w:color="auto"/>
                  </w:divBdr>
                  <w:divsChild>
                    <w:div w:id="772162891">
                      <w:marLeft w:val="0"/>
                      <w:marRight w:val="0"/>
                      <w:marTop w:val="0"/>
                      <w:marBottom w:val="0"/>
                      <w:divBdr>
                        <w:top w:val="none" w:sz="0" w:space="0" w:color="auto"/>
                        <w:left w:val="none" w:sz="0" w:space="0" w:color="auto"/>
                        <w:bottom w:val="none" w:sz="0" w:space="0" w:color="auto"/>
                        <w:right w:val="none" w:sz="0" w:space="0" w:color="auto"/>
                      </w:divBdr>
                      <w:divsChild>
                        <w:div w:id="1910265226">
                          <w:marLeft w:val="0"/>
                          <w:marRight w:val="0"/>
                          <w:marTop w:val="0"/>
                          <w:marBottom w:val="0"/>
                          <w:divBdr>
                            <w:top w:val="none" w:sz="0" w:space="0" w:color="auto"/>
                            <w:left w:val="none" w:sz="0" w:space="0" w:color="auto"/>
                            <w:bottom w:val="none" w:sz="0" w:space="0" w:color="auto"/>
                            <w:right w:val="none" w:sz="0" w:space="0" w:color="auto"/>
                          </w:divBdr>
                          <w:divsChild>
                            <w:div w:id="1720085871">
                              <w:marLeft w:val="0"/>
                              <w:marRight w:val="0"/>
                              <w:marTop w:val="0"/>
                              <w:marBottom w:val="0"/>
                              <w:divBdr>
                                <w:top w:val="none" w:sz="0" w:space="0" w:color="auto"/>
                                <w:left w:val="none" w:sz="0" w:space="0" w:color="auto"/>
                                <w:bottom w:val="none" w:sz="0" w:space="0" w:color="auto"/>
                                <w:right w:val="none" w:sz="0" w:space="0" w:color="auto"/>
                              </w:divBdr>
                              <w:divsChild>
                                <w:div w:id="406728653">
                                  <w:marLeft w:val="0"/>
                                  <w:marRight w:val="0"/>
                                  <w:marTop w:val="0"/>
                                  <w:marBottom w:val="0"/>
                                  <w:divBdr>
                                    <w:top w:val="none" w:sz="0" w:space="0" w:color="auto"/>
                                    <w:left w:val="none" w:sz="0" w:space="0" w:color="auto"/>
                                    <w:bottom w:val="none" w:sz="0" w:space="0" w:color="auto"/>
                                    <w:right w:val="none" w:sz="0" w:space="0" w:color="auto"/>
                                  </w:divBdr>
                                  <w:divsChild>
                                    <w:div w:id="2092970078">
                                      <w:marLeft w:val="0"/>
                                      <w:marRight w:val="0"/>
                                      <w:marTop w:val="0"/>
                                      <w:marBottom w:val="0"/>
                                      <w:divBdr>
                                        <w:top w:val="none" w:sz="0" w:space="0" w:color="auto"/>
                                        <w:left w:val="none" w:sz="0" w:space="0" w:color="auto"/>
                                        <w:bottom w:val="none" w:sz="0" w:space="0" w:color="auto"/>
                                        <w:right w:val="none" w:sz="0" w:space="0" w:color="auto"/>
                                      </w:divBdr>
                                      <w:divsChild>
                                        <w:div w:id="1762751486">
                                          <w:marLeft w:val="0"/>
                                          <w:marRight w:val="0"/>
                                          <w:marTop w:val="0"/>
                                          <w:marBottom w:val="0"/>
                                          <w:divBdr>
                                            <w:top w:val="none" w:sz="0" w:space="0" w:color="auto"/>
                                            <w:left w:val="none" w:sz="0" w:space="0" w:color="auto"/>
                                            <w:bottom w:val="none" w:sz="0" w:space="0" w:color="auto"/>
                                            <w:right w:val="none" w:sz="0" w:space="0" w:color="auto"/>
                                          </w:divBdr>
                                          <w:divsChild>
                                            <w:div w:id="1211770592">
                                              <w:marLeft w:val="0"/>
                                              <w:marRight w:val="0"/>
                                              <w:marTop w:val="0"/>
                                              <w:marBottom w:val="0"/>
                                              <w:divBdr>
                                                <w:top w:val="none" w:sz="0" w:space="0" w:color="auto"/>
                                                <w:left w:val="none" w:sz="0" w:space="0" w:color="auto"/>
                                                <w:bottom w:val="none" w:sz="0" w:space="0" w:color="auto"/>
                                                <w:right w:val="none" w:sz="0" w:space="0" w:color="auto"/>
                                              </w:divBdr>
                                              <w:divsChild>
                                                <w:div w:id="1336880360">
                                                  <w:marLeft w:val="0"/>
                                                  <w:marRight w:val="0"/>
                                                  <w:marTop w:val="0"/>
                                                  <w:marBottom w:val="0"/>
                                                  <w:divBdr>
                                                    <w:top w:val="none" w:sz="0" w:space="0" w:color="auto"/>
                                                    <w:left w:val="none" w:sz="0" w:space="0" w:color="auto"/>
                                                    <w:bottom w:val="none" w:sz="0" w:space="0" w:color="auto"/>
                                                    <w:right w:val="none" w:sz="0" w:space="0" w:color="auto"/>
                                                  </w:divBdr>
                                                  <w:divsChild>
                                                    <w:div w:id="1009141206">
                                                      <w:marLeft w:val="0"/>
                                                      <w:marRight w:val="0"/>
                                                      <w:marTop w:val="0"/>
                                                      <w:marBottom w:val="0"/>
                                                      <w:divBdr>
                                                        <w:top w:val="none" w:sz="0" w:space="0" w:color="auto"/>
                                                        <w:left w:val="none" w:sz="0" w:space="0" w:color="auto"/>
                                                        <w:bottom w:val="none" w:sz="0" w:space="0" w:color="auto"/>
                                                        <w:right w:val="none" w:sz="0" w:space="0" w:color="auto"/>
                                                      </w:divBdr>
                                                      <w:divsChild>
                                                        <w:div w:id="1068261581">
                                                          <w:marLeft w:val="0"/>
                                                          <w:marRight w:val="0"/>
                                                          <w:marTop w:val="0"/>
                                                          <w:marBottom w:val="0"/>
                                                          <w:divBdr>
                                                            <w:top w:val="none" w:sz="0" w:space="0" w:color="auto"/>
                                                            <w:left w:val="none" w:sz="0" w:space="0" w:color="auto"/>
                                                            <w:bottom w:val="none" w:sz="0" w:space="0" w:color="auto"/>
                                                            <w:right w:val="none" w:sz="0" w:space="0" w:color="auto"/>
                                                          </w:divBdr>
                                                          <w:divsChild>
                                                            <w:div w:id="1173881944">
                                                              <w:marLeft w:val="0"/>
                                                              <w:marRight w:val="0"/>
                                                              <w:marTop w:val="0"/>
                                                              <w:marBottom w:val="0"/>
                                                              <w:divBdr>
                                                                <w:top w:val="none" w:sz="0" w:space="0" w:color="auto"/>
                                                                <w:left w:val="none" w:sz="0" w:space="0" w:color="auto"/>
                                                                <w:bottom w:val="none" w:sz="0" w:space="0" w:color="auto"/>
                                                                <w:right w:val="none" w:sz="0" w:space="0" w:color="auto"/>
                                                              </w:divBdr>
                                                              <w:divsChild>
                                                                <w:div w:id="1564439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92291978">
      <w:bodyDiv w:val="1"/>
      <w:marLeft w:val="0"/>
      <w:marRight w:val="0"/>
      <w:marTop w:val="0"/>
      <w:marBottom w:val="0"/>
      <w:divBdr>
        <w:top w:val="none" w:sz="0" w:space="0" w:color="auto"/>
        <w:left w:val="none" w:sz="0" w:space="0" w:color="auto"/>
        <w:bottom w:val="none" w:sz="0" w:space="0" w:color="auto"/>
        <w:right w:val="none" w:sz="0" w:space="0" w:color="auto"/>
      </w:divBdr>
      <w:divsChild>
        <w:div w:id="89199445">
          <w:marLeft w:val="0"/>
          <w:marRight w:val="0"/>
          <w:marTop w:val="0"/>
          <w:marBottom w:val="0"/>
          <w:divBdr>
            <w:top w:val="none" w:sz="0" w:space="0" w:color="auto"/>
            <w:left w:val="none" w:sz="0" w:space="0" w:color="auto"/>
            <w:bottom w:val="none" w:sz="0" w:space="0" w:color="auto"/>
            <w:right w:val="none" w:sz="0" w:space="0" w:color="auto"/>
          </w:divBdr>
          <w:divsChild>
            <w:div w:id="52580298">
              <w:marLeft w:val="0"/>
              <w:marRight w:val="0"/>
              <w:marTop w:val="0"/>
              <w:marBottom w:val="0"/>
              <w:divBdr>
                <w:top w:val="none" w:sz="0" w:space="0" w:color="auto"/>
                <w:left w:val="none" w:sz="0" w:space="0" w:color="auto"/>
                <w:bottom w:val="none" w:sz="0" w:space="0" w:color="auto"/>
                <w:right w:val="none" w:sz="0" w:space="0" w:color="auto"/>
              </w:divBdr>
              <w:divsChild>
                <w:div w:id="1117483399">
                  <w:marLeft w:val="0"/>
                  <w:marRight w:val="0"/>
                  <w:marTop w:val="0"/>
                  <w:marBottom w:val="0"/>
                  <w:divBdr>
                    <w:top w:val="none" w:sz="0" w:space="0" w:color="auto"/>
                    <w:left w:val="none" w:sz="0" w:space="0" w:color="auto"/>
                    <w:bottom w:val="none" w:sz="0" w:space="0" w:color="auto"/>
                    <w:right w:val="none" w:sz="0" w:space="0" w:color="auto"/>
                  </w:divBdr>
                  <w:divsChild>
                    <w:div w:id="1673295752">
                      <w:marLeft w:val="0"/>
                      <w:marRight w:val="0"/>
                      <w:marTop w:val="0"/>
                      <w:marBottom w:val="0"/>
                      <w:divBdr>
                        <w:top w:val="none" w:sz="0" w:space="0" w:color="auto"/>
                        <w:left w:val="none" w:sz="0" w:space="0" w:color="auto"/>
                        <w:bottom w:val="none" w:sz="0" w:space="0" w:color="auto"/>
                        <w:right w:val="none" w:sz="0" w:space="0" w:color="auto"/>
                      </w:divBdr>
                      <w:divsChild>
                        <w:div w:id="1711539363">
                          <w:marLeft w:val="0"/>
                          <w:marRight w:val="0"/>
                          <w:marTop w:val="0"/>
                          <w:marBottom w:val="0"/>
                          <w:divBdr>
                            <w:top w:val="none" w:sz="0" w:space="0" w:color="auto"/>
                            <w:left w:val="none" w:sz="0" w:space="0" w:color="auto"/>
                            <w:bottom w:val="none" w:sz="0" w:space="0" w:color="auto"/>
                            <w:right w:val="none" w:sz="0" w:space="0" w:color="auto"/>
                          </w:divBdr>
                          <w:divsChild>
                            <w:div w:id="2039308658">
                              <w:marLeft w:val="0"/>
                              <w:marRight w:val="0"/>
                              <w:marTop w:val="0"/>
                              <w:marBottom w:val="0"/>
                              <w:divBdr>
                                <w:top w:val="none" w:sz="0" w:space="0" w:color="auto"/>
                                <w:left w:val="none" w:sz="0" w:space="0" w:color="auto"/>
                                <w:bottom w:val="none" w:sz="0" w:space="0" w:color="auto"/>
                                <w:right w:val="none" w:sz="0" w:space="0" w:color="auto"/>
                              </w:divBdr>
                              <w:divsChild>
                                <w:div w:id="485586101">
                                  <w:marLeft w:val="0"/>
                                  <w:marRight w:val="0"/>
                                  <w:marTop w:val="0"/>
                                  <w:marBottom w:val="0"/>
                                  <w:divBdr>
                                    <w:top w:val="none" w:sz="0" w:space="0" w:color="auto"/>
                                    <w:left w:val="none" w:sz="0" w:space="0" w:color="auto"/>
                                    <w:bottom w:val="none" w:sz="0" w:space="0" w:color="auto"/>
                                    <w:right w:val="none" w:sz="0" w:space="0" w:color="auto"/>
                                  </w:divBdr>
                                  <w:divsChild>
                                    <w:div w:id="1346245731">
                                      <w:marLeft w:val="0"/>
                                      <w:marRight w:val="0"/>
                                      <w:marTop w:val="0"/>
                                      <w:marBottom w:val="0"/>
                                      <w:divBdr>
                                        <w:top w:val="none" w:sz="0" w:space="0" w:color="auto"/>
                                        <w:left w:val="none" w:sz="0" w:space="0" w:color="auto"/>
                                        <w:bottom w:val="none" w:sz="0" w:space="0" w:color="auto"/>
                                        <w:right w:val="none" w:sz="0" w:space="0" w:color="auto"/>
                                      </w:divBdr>
                                      <w:divsChild>
                                        <w:div w:id="1317953348">
                                          <w:marLeft w:val="0"/>
                                          <w:marRight w:val="0"/>
                                          <w:marTop w:val="0"/>
                                          <w:marBottom w:val="0"/>
                                          <w:divBdr>
                                            <w:top w:val="none" w:sz="0" w:space="0" w:color="auto"/>
                                            <w:left w:val="none" w:sz="0" w:space="0" w:color="auto"/>
                                            <w:bottom w:val="none" w:sz="0" w:space="0" w:color="auto"/>
                                            <w:right w:val="none" w:sz="0" w:space="0" w:color="auto"/>
                                          </w:divBdr>
                                          <w:divsChild>
                                            <w:div w:id="887688612">
                                              <w:marLeft w:val="0"/>
                                              <w:marRight w:val="0"/>
                                              <w:marTop w:val="0"/>
                                              <w:marBottom w:val="0"/>
                                              <w:divBdr>
                                                <w:top w:val="none" w:sz="0" w:space="0" w:color="auto"/>
                                                <w:left w:val="none" w:sz="0" w:space="0" w:color="auto"/>
                                                <w:bottom w:val="none" w:sz="0" w:space="0" w:color="auto"/>
                                                <w:right w:val="none" w:sz="0" w:space="0" w:color="auto"/>
                                              </w:divBdr>
                                              <w:divsChild>
                                                <w:div w:id="730080143">
                                                  <w:marLeft w:val="0"/>
                                                  <w:marRight w:val="0"/>
                                                  <w:marTop w:val="0"/>
                                                  <w:marBottom w:val="0"/>
                                                  <w:divBdr>
                                                    <w:top w:val="none" w:sz="0" w:space="0" w:color="auto"/>
                                                    <w:left w:val="none" w:sz="0" w:space="0" w:color="auto"/>
                                                    <w:bottom w:val="none" w:sz="0" w:space="0" w:color="auto"/>
                                                    <w:right w:val="none" w:sz="0" w:space="0" w:color="auto"/>
                                                  </w:divBdr>
                                                  <w:divsChild>
                                                    <w:div w:id="209191837">
                                                      <w:marLeft w:val="0"/>
                                                      <w:marRight w:val="0"/>
                                                      <w:marTop w:val="0"/>
                                                      <w:marBottom w:val="0"/>
                                                      <w:divBdr>
                                                        <w:top w:val="none" w:sz="0" w:space="0" w:color="auto"/>
                                                        <w:left w:val="none" w:sz="0" w:space="0" w:color="auto"/>
                                                        <w:bottom w:val="none" w:sz="0" w:space="0" w:color="auto"/>
                                                        <w:right w:val="none" w:sz="0" w:space="0" w:color="auto"/>
                                                      </w:divBdr>
                                                      <w:divsChild>
                                                        <w:div w:id="1089890862">
                                                          <w:marLeft w:val="0"/>
                                                          <w:marRight w:val="0"/>
                                                          <w:marTop w:val="0"/>
                                                          <w:marBottom w:val="0"/>
                                                          <w:divBdr>
                                                            <w:top w:val="none" w:sz="0" w:space="0" w:color="auto"/>
                                                            <w:left w:val="none" w:sz="0" w:space="0" w:color="auto"/>
                                                            <w:bottom w:val="none" w:sz="0" w:space="0" w:color="auto"/>
                                                            <w:right w:val="none" w:sz="0" w:space="0" w:color="auto"/>
                                                          </w:divBdr>
                                                          <w:divsChild>
                                                            <w:div w:id="50856805">
                                                              <w:marLeft w:val="0"/>
                                                              <w:marRight w:val="0"/>
                                                              <w:marTop w:val="0"/>
                                                              <w:marBottom w:val="0"/>
                                                              <w:divBdr>
                                                                <w:top w:val="none" w:sz="0" w:space="0" w:color="auto"/>
                                                                <w:left w:val="none" w:sz="0" w:space="0" w:color="auto"/>
                                                                <w:bottom w:val="none" w:sz="0" w:space="0" w:color="auto"/>
                                                                <w:right w:val="none" w:sz="0" w:space="0" w:color="auto"/>
                                                              </w:divBdr>
                                                              <w:divsChild>
                                                                <w:div w:id="146893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15979343">
      <w:bodyDiv w:val="1"/>
      <w:marLeft w:val="0"/>
      <w:marRight w:val="0"/>
      <w:marTop w:val="0"/>
      <w:marBottom w:val="0"/>
      <w:divBdr>
        <w:top w:val="none" w:sz="0" w:space="0" w:color="auto"/>
        <w:left w:val="none" w:sz="0" w:space="0" w:color="auto"/>
        <w:bottom w:val="none" w:sz="0" w:space="0" w:color="auto"/>
        <w:right w:val="none" w:sz="0" w:space="0" w:color="auto"/>
      </w:divBdr>
    </w:div>
    <w:div w:id="1914316747">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0"/>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4159/9780674029019" TargetMode="External"/><Relationship Id="rId13" Type="http://schemas.openxmlformats.org/officeDocument/2006/relationships/hyperlink" Target="https://doi.org/10.1093/0198238207.001.0001" TargetMode="External"/><Relationship Id="rId18" Type="http://schemas.openxmlformats.org/officeDocument/2006/relationships/hyperlink" Target="https://doi.org/10.1017/epi.2018.32"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doi.org/10.1080/02691728.2024.2356518" TargetMode="External"/><Relationship Id="rId7" Type="http://schemas.openxmlformats.org/officeDocument/2006/relationships/endnotes" Target="endnotes.xml"/><Relationship Id="rId12" Type="http://schemas.openxmlformats.org/officeDocument/2006/relationships/hyperlink" Target="https://doi.org/10.1111/soc4.13075" TargetMode="External"/><Relationship Id="rId17" Type="http://schemas.openxmlformats.org/officeDocument/2006/relationships/hyperlink" Target="https://doi.org/10.1111/phis.12221"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doi.org/10.56296/aip00028" TargetMode="External"/><Relationship Id="rId20" Type="http://schemas.openxmlformats.org/officeDocument/2006/relationships/hyperlink" Target="https://doi.org/10.7208/chicago/9780226713519.001.000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93/acprof:oso/9780198237907.001.0001"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doi.org/10.7551/mitpress/6919.001.0001" TargetMode="External"/><Relationship Id="rId23" Type="http://schemas.openxmlformats.org/officeDocument/2006/relationships/footer" Target="footer1.xml"/><Relationship Id="rId10" Type="http://schemas.openxmlformats.org/officeDocument/2006/relationships/hyperlink" Target="https://doi.org/10.1093/oseo/instance.00185383" TargetMode="External"/><Relationship Id="rId19" Type="http://schemas.openxmlformats.org/officeDocument/2006/relationships/hyperlink" Target="https://doi.org/10.1038/s41562-024-02086-1" TargetMode="External"/><Relationship Id="rId4" Type="http://schemas.openxmlformats.org/officeDocument/2006/relationships/settings" Target="settings.xml"/><Relationship Id="rId9" Type="http://schemas.openxmlformats.org/officeDocument/2006/relationships/hyperlink" Target="https://doi.org/10.1177/14648849241291727" TargetMode="External"/><Relationship Id="rId14" Type="http://schemas.openxmlformats.org/officeDocument/2006/relationships/hyperlink" Target="https://doi.org/10.1177/1529100612451018" TargetMode="External"/><Relationship Id="rId22" Type="http://schemas.openxmlformats.org/officeDocument/2006/relationships/header" Target="header1.xml"/></Relationships>
</file>

<file path=word/_rels/header2.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hyperlink" Target="http://creativecommons.org/licenses/by/4.0/" TargetMode="External"/><Relationship Id="rId1" Type="http://schemas.openxmlformats.org/officeDocument/2006/relationships/hyperlink" Target="https://doi.org/10.33422/ntssconf.v4i2.2209%20" TargetMode="External"/><Relationship Id="rId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F26A6A-2A53-449D-A671-CEF0B601F3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4891</TotalTime>
  <Pages>12</Pages>
  <Words>5500</Words>
  <Characters>34216</Characters>
  <Application>Microsoft Office Word</Application>
  <DocSecurity>0</DocSecurity>
  <Lines>518</Lines>
  <Paragraphs>165</Paragraphs>
  <ScaleCrop>false</ScaleCrop>
  <HeadingPairs>
    <vt:vector size="6" baseType="variant">
      <vt:variant>
        <vt:lpstr>Title</vt:lpstr>
      </vt:variant>
      <vt:variant>
        <vt:i4>1</vt:i4>
      </vt:variant>
      <vt:variant>
        <vt:lpstr>Názov</vt:lpstr>
      </vt:variant>
      <vt:variant>
        <vt:i4>1</vt:i4>
      </vt:variant>
      <vt:variant>
        <vt:lpstr>Název</vt:lpstr>
      </vt:variant>
      <vt:variant>
        <vt:i4>1</vt:i4>
      </vt:variant>
    </vt:vector>
  </HeadingPairs>
  <TitlesOfParts>
    <vt:vector size="3" baseType="lpstr">
      <vt:lpstr>Paper Title</vt:lpstr>
      <vt:lpstr>Paper Title</vt:lpstr>
      <vt:lpstr>Paper Title</vt:lpstr>
    </vt:vector>
  </TitlesOfParts>
  <Company>Fakulta managementu JU</Company>
  <LinksUpToDate>false</LinksUpToDate>
  <CharactersWithSpaces>39551</CharactersWithSpaces>
  <SharedDoc>false</SharedDoc>
  <HLinks>
    <vt:vector size="12" baseType="variant">
      <vt:variant>
        <vt:i4>1310813</vt:i4>
      </vt:variant>
      <vt:variant>
        <vt:i4>9</vt:i4>
      </vt:variant>
      <vt:variant>
        <vt:i4>0</vt:i4>
      </vt:variant>
      <vt:variant>
        <vt:i4>5</vt:i4>
      </vt:variant>
      <vt:variant>
        <vt:lpwstr>http://www.halcyon.com/pub/journals/21ps03-vidmar</vt:lpwstr>
      </vt:variant>
      <vt:variant>
        <vt:lpwstr/>
      </vt:variant>
      <vt:variant>
        <vt:i4>4194375</vt:i4>
      </vt:variant>
      <vt:variant>
        <vt:i4>6</vt:i4>
      </vt:variant>
      <vt:variant>
        <vt:i4>0</vt:i4>
      </vt:variant>
      <vt:variant>
        <vt:i4>5</vt:i4>
      </vt:variant>
      <vt:variant>
        <vt:lpwstr>http://www.apastyle.org/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dc:title>
  <dc:subject/>
  <dc:creator>Jan Plešingr</dc:creator>
  <cp:keywords/>
  <dc:description/>
  <cp:lastModifiedBy>فهیمه خابوری</cp:lastModifiedBy>
  <cp:revision>382</cp:revision>
  <cp:lastPrinted>2024-11-09T01:32:00Z</cp:lastPrinted>
  <dcterms:created xsi:type="dcterms:W3CDTF">2024-11-09T00:44:00Z</dcterms:created>
  <dcterms:modified xsi:type="dcterms:W3CDTF">2026-10-12T12:14:00Z</dcterms:modified>
</cp:coreProperties>
</file>