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2DA7" w14:textId="08873D03" w:rsidR="00B75BBC" w:rsidRPr="002C438C" w:rsidRDefault="006A0927" w:rsidP="00F739EC">
      <w:pPr>
        <w:spacing w:after="0" w:line="240" w:lineRule="auto"/>
        <w:jc w:val="center"/>
        <w:rPr>
          <w:rFonts w:ascii="Times New Roman" w:hAnsi="Times New Roman" w:cs="Times New Roman"/>
          <w:b/>
          <w:sz w:val="40"/>
          <w:szCs w:val="40"/>
        </w:rPr>
      </w:pPr>
      <w:r w:rsidRPr="006A0927">
        <w:rPr>
          <w:rFonts w:ascii="Times New Roman" w:hAnsi="Times New Roman" w:cs="Times New Roman"/>
          <w:b/>
          <w:sz w:val="40"/>
          <w:szCs w:val="40"/>
        </w:rPr>
        <w:t xml:space="preserve">Opportunities and Challenges of </w:t>
      </w:r>
      <w:r w:rsidR="008F7229" w:rsidRPr="006A0927">
        <w:rPr>
          <w:rFonts w:ascii="Times New Roman" w:hAnsi="Times New Roman" w:cs="Times New Roman"/>
          <w:b/>
          <w:sz w:val="40"/>
          <w:szCs w:val="40"/>
        </w:rPr>
        <w:t xml:space="preserve">Implementing </w:t>
      </w:r>
      <w:r w:rsidRPr="006A0927">
        <w:rPr>
          <w:rFonts w:ascii="Times New Roman" w:hAnsi="Times New Roman" w:cs="Times New Roman"/>
          <w:b/>
          <w:sz w:val="40"/>
          <w:szCs w:val="40"/>
        </w:rPr>
        <w:t>Industry 4.0 Technologies in Business Operations</w:t>
      </w:r>
    </w:p>
    <w:p w14:paraId="26684BCB" w14:textId="77777777" w:rsidR="00F739EC" w:rsidRPr="002C438C" w:rsidRDefault="00F739EC" w:rsidP="00F739EC">
      <w:pPr>
        <w:spacing w:after="0" w:line="240" w:lineRule="auto"/>
        <w:jc w:val="center"/>
        <w:rPr>
          <w:rFonts w:ascii="Times New Roman" w:hAnsi="Times New Roman" w:cs="Times New Roman"/>
          <w:b/>
          <w:sz w:val="40"/>
          <w:szCs w:val="40"/>
        </w:rPr>
      </w:pPr>
    </w:p>
    <w:p w14:paraId="0A306259" w14:textId="38E4D870" w:rsidR="00F739EC" w:rsidRPr="002C438C" w:rsidRDefault="006A0927" w:rsidP="006A0927">
      <w:pPr>
        <w:autoSpaceDE w:val="0"/>
        <w:autoSpaceDN w:val="0"/>
        <w:adjustRightInd w:val="0"/>
        <w:spacing w:after="0" w:line="240" w:lineRule="auto"/>
        <w:jc w:val="center"/>
        <w:rPr>
          <w:rFonts w:ascii="Times New Roman" w:hAnsi="Times New Roman" w:cs="Times New Roman"/>
          <w:b/>
        </w:rPr>
      </w:pPr>
      <w:r w:rsidRPr="006A0927">
        <w:rPr>
          <w:rFonts w:ascii="Times New Roman" w:hAnsi="Times New Roman" w:cs="Times New Roman"/>
          <w:b/>
        </w:rPr>
        <w:t>Syed Mubaraz</w:t>
      </w:r>
      <w:r w:rsidR="002C438C" w:rsidRPr="002C438C">
        <w:rPr>
          <w:rFonts w:ascii="Times New Roman" w:hAnsi="Times New Roman" w:cs="Times New Roman"/>
          <w:b/>
          <w:vertAlign w:val="superscript"/>
        </w:rPr>
        <w:t>1</w:t>
      </w:r>
      <w:r w:rsidR="008F7229">
        <w:rPr>
          <w:rFonts w:ascii="Times New Roman" w:hAnsi="Times New Roman" w:cs="Times New Roman"/>
          <w:b/>
          <w:vertAlign w:val="superscript"/>
        </w:rPr>
        <w:t>*</w:t>
      </w:r>
      <w:r w:rsidR="002C438C" w:rsidRPr="002C438C">
        <w:rPr>
          <w:rFonts w:ascii="Times New Roman" w:hAnsi="Times New Roman" w:cs="Times New Roman"/>
          <w:b/>
        </w:rPr>
        <w:t xml:space="preserve"> and </w:t>
      </w:r>
      <w:proofErr w:type="spellStart"/>
      <w:r w:rsidRPr="006A0927">
        <w:rPr>
          <w:rFonts w:ascii="Times New Roman" w:hAnsi="Times New Roman" w:cs="Times New Roman"/>
          <w:b/>
        </w:rPr>
        <w:t>Irshan</w:t>
      </w:r>
      <w:proofErr w:type="spellEnd"/>
      <w:r w:rsidRPr="006A0927">
        <w:rPr>
          <w:rFonts w:ascii="Times New Roman" w:hAnsi="Times New Roman" w:cs="Times New Roman"/>
          <w:b/>
        </w:rPr>
        <w:t xml:space="preserve"> Khan</w:t>
      </w:r>
      <w:r w:rsidR="002C438C" w:rsidRPr="002C438C">
        <w:rPr>
          <w:rFonts w:ascii="Times New Roman" w:hAnsi="Times New Roman" w:cs="Times New Roman"/>
          <w:b/>
          <w:vertAlign w:val="superscript"/>
        </w:rPr>
        <w:t>2</w:t>
      </w:r>
    </w:p>
    <w:p w14:paraId="7D399B43" w14:textId="2680D409" w:rsidR="00952AAA" w:rsidRPr="002C438C" w:rsidRDefault="00F739EC" w:rsidP="00F739EC">
      <w:pPr>
        <w:autoSpaceDE w:val="0"/>
        <w:autoSpaceDN w:val="0"/>
        <w:adjustRightInd w:val="0"/>
        <w:spacing w:after="0" w:line="240" w:lineRule="auto"/>
        <w:jc w:val="center"/>
        <w:rPr>
          <w:rFonts w:ascii="Times New Roman" w:hAnsi="Times New Roman" w:cs="Times New Roman"/>
          <w:sz w:val="20"/>
          <w:szCs w:val="20"/>
        </w:rPr>
      </w:pPr>
      <w:r w:rsidRPr="002C438C">
        <w:rPr>
          <w:rFonts w:ascii="Times New Roman" w:hAnsi="Times New Roman" w:cs="Times New Roman"/>
          <w:sz w:val="20"/>
          <w:szCs w:val="20"/>
          <w:vertAlign w:val="superscript"/>
        </w:rPr>
        <w:t xml:space="preserve">1 </w:t>
      </w:r>
      <w:r w:rsidR="006A0927" w:rsidRPr="006A0927">
        <w:rPr>
          <w:rFonts w:ascii="Times New Roman" w:hAnsi="Times New Roman" w:cs="Times New Roman"/>
          <w:sz w:val="20"/>
          <w:szCs w:val="20"/>
        </w:rPr>
        <w:t>Tampere University of Applied Sciences</w:t>
      </w:r>
      <w:r w:rsidR="002C438C" w:rsidRPr="002C438C">
        <w:rPr>
          <w:rFonts w:ascii="Times New Roman" w:hAnsi="Times New Roman" w:cs="Times New Roman"/>
          <w:sz w:val="20"/>
          <w:szCs w:val="20"/>
        </w:rPr>
        <w:t xml:space="preserve">, </w:t>
      </w:r>
      <w:r w:rsidR="006A0927">
        <w:rPr>
          <w:rFonts w:ascii="Times New Roman" w:hAnsi="Times New Roman" w:cs="Times New Roman"/>
          <w:sz w:val="20"/>
          <w:szCs w:val="20"/>
        </w:rPr>
        <w:t>F</w:t>
      </w:r>
      <w:r w:rsidR="006A0927" w:rsidRPr="006A0927">
        <w:rPr>
          <w:rFonts w:ascii="Times New Roman" w:hAnsi="Times New Roman" w:cs="Times New Roman"/>
          <w:sz w:val="20"/>
          <w:szCs w:val="20"/>
        </w:rPr>
        <w:t>i</w:t>
      </w:r>
      <w:r w:rsidR="006A0927">
        <w:rPr>
          <w:rFonts w:ascii="Times New Roman" w:hAnsi="Times New Roman" w:cs="Times New Roman"/>
          <w:sz w:val="20"/>
          <w:szCs w:val="20"/>
        </w:rPr>
        <w:t>nland</w:t>
      </w:r>
    </w:p>
    <w:p w14:paraId="26065C9E" w14:textId="23A152EF" w:rsidR="00952AAA" w:rsidRPr="002C438C" w:rsidRDefault="00F739EC" w:rsidP="00F739EC">
      <w:pPr>
        <w:autoSpaceDE w:val="0"/>
        <w:autoSpaceDN w:val="0"/>
        <w:adjustRightInd w:val="0"/>
        <w:spacing w:after="0" w:line="240" w:lineRule="auto"/>
        <w:jc w:val="center"/>
        <w:rPr>
          <w:rFonts w:ascii="Times New Roman" w:hAnsi="Times New Roman" w:cs="Times New Roman"/>
          <w:sz w:val="20"/>
          <w:szCs w:val="20"/>
        </w:rPr>
      </w:pPr>
      <w:r w:rsidRPr="002C438C">
        <w:rPr>
          <w:rFonts w:ascii="Times New Roman" w:hAnsi="Times New Roman" w:cs="Times New Roman"/>
          <w:sz w:val="20"/>
          <w:szCs w:val="20"/>
          <w:vertAlign w:val="superscript"/>
        </w:rPr>
        <w:t>2</w:t>
      </w:r>
      <w:r w:rsidR="00427E7B" w:rsidRPr="002C438C">
        <w:rPr>
          <w:rFonts w:ascii="Times New Roman" w:hAnsi="Times New Roman" w:cs="Times New Roman"/>
        </w:rPr>
        <w:t xml:space="preserve"> </w:t>
      </w:r>
      <w:r w:rsidR="006A0927" w:rsidRPr="006A0927">
        <w:rPr>
          <w:rFonts w:ascii="Times New Roman" w:hAnsi="Times New Roman" w:cs="Times New Roman"/>
          <w:sz w:val="20"/>
          <w:szCs w:val="20"/>
        </w:rPr>
        <w:t>Nokia Solutions and Networks, Finland</w:t>
      </w:r>
    </w:p>
    <w:p w14:paraId="5D1BD5DD" w14:textId="77777777" w:rsidR="00DF58EE" w:rsidRPr="002C438C" w:rsidRDefault="00DF58EE" w:rsidP="006132E9">
      <w:pPr>
        <w:spacing w:line="240" w:lineRule="auto"/>
        <w:jc w:val="both"/>
        <w:rPr>
          <w:rFonts w:ascii="Times New Roman" w:hAnsi="Times New Roman" w:cs="Times New Roman"/>
          <w:sz w:val="24"/>
          <w:szCs w:val="24"/>
        </w:rPr>
      </w:pPr>
    </w:p>
    <w:p w14:paraId="0FE86F88" w14:textId="77777777" w:rsidR="00626B38" w:rsidRPr="002C438C" w:rsidRDefault="00626B38" w:rsidP="006132E9">
      <w:pPr>
        <w:spacing w:line="240" w:lineRule="auto"/>
        <w:jc w:val="both"/>
        <w:rPr>
          <w:rFonts w:ascii="Times New Roman" w:hAnsi="Times New Roman" w:cs="Times New Roman"/>
          <w:b/>
          <w:sz w:val="28"/>
          <w:szCs w:val="28"/>
        </w:rPr>
      </w:pPr>
      <w:r w:rsidRPr="002C438C">
        <w:rPr>
          <w:rFonts w:ascii="Times New Roman" w:hAnsi="Times New Roman" w:cs="Times New Roman"/>
          <w:b/>
          <w:sz w:val="28"/>
          <w:szCs w:val="28"/>
        </w:rPr>
        <w:t>Abstract</w:t>
      </w:r>
    </w:p>
    <w:p w14:paraId="630B6BA0" w14:textId="545B3EE9" w:rsidR="00490439" w:rsidRPr="002C438C" w:rsidRDefault="006A0927" w:rsidP="006132E9">
      <w:pPr>
        <w:spacing w:line="240" w:lineRule="auto"/>
        <w:jc w:val="both"/>
        <w:rPr>
          <w:rFonts w:ascii="Times New Roman" w:hAnsi="Times New Roman" w:cs="Times New Roman"/>
          <w:sz w:val="24"/>
          <w:szCs w:val="24"/>
        </w:rPr>
      </w:pPr>
      <w:r w:rsidRPr="006A0927">
        <w:rPr>
          <w:rFonts w:ascii="Times New Roman" w:hAnsi="Times New Roman" w:cs="Times New Roman"/>
          <w:sz w:val="24"/>
          <w:szCs w:val="24"/>
        </w:rPr>
        <w:t>This research addresses implementation of Industry 4.0 (I4.0) technologies in business operations. Using Finnish businesses as the context of research, the study presents the answer to vital questions including how industries are adopting I4.0 in Finland and what are some of the opportunities and challenges in the implementation of I4.0 technologies. We bank on Porter’s five forces model as theoretical framework. The study is explorative in nature and uses qualitative research methodology. The empirical data is collected through semi-structures interviews with personnel from several industries located in Finland. The results show that implementation of I4.0 has created integrated value-creation networks and ecosystems across various market segments. These ecosystems are reshaping market dynamics and competitive landscapes for companies involved. This new environment offers opportunities for growth, value capture. This approach has prompted organizations re-evaluate roles within an ecosystem. Manufacturers, partners, suppliers, and customers are collaborating to build ecosystems for mutually beneficial objectives. The I4.0 is a crucial area for future business development in the Finnish industries. It’s a growth area that is focused on I4.0. Besides, results also highlight some challenges industries have faced during the implementation of I4.0 technologies in business operations including immediate requirement of improved cyber security solutions, lack of industry-specific standardization, prevailing resistance to change, and dire need for trained human resources capable of working with I4.0 technologies.</w:t>
      </w:r>
    </w:p>
    <w:p w14:paraId="482CD44F" w14:textId="62D40E06" w:rsidR="00176DCE" w:rsidRPr="002C438C" w:rsidRDefault="003520E9" w:rsidP="006132E9">
      <w:pPr>
        <w:spacing w:line="240" w:lineRule="auto"/>
        <w:jc w:val="both"/>
        <w:rPr>
          <w:rFonts w:ascii="Times New Roman" w:hAnsi="Times New Roman" w:cs="Times New Roman"/>
          <w:sz w:val="24"/>
          <w:szCs w:val="24"/>
        </w:rPr>
      </w:pPr>
      <w:r w:rsidRPr="002C438C">
        <w:rPr>
          <w:rFonts w:ascii="Times New Roman" w:hAnsi="Times New Roman" w:cs="Times New Roman"/>
          <w:b/>
          <w:bCs/>
        </w:rPr>
        <w:t>Keywords:</w:t>
      </w:r>
      <w:r w:rsidR="002C438C" w:rsidRPr="002C438C">
        <w:rPr>
          <w:rFonts w:ascii="Times New Roman" w:hAnsi="Times New Roman" w:cs="Times New Roman"/>
        </w:rPr>
        <w:t xml:space="preserve"> </w:t>
      </w:r>
      <w:r w:rsidR="006A0927" w:rsidRPr="006A0927">
        <w:rPr>
          <w:rFonts w:ascii="Times New Roman" w:hAnsi="Times New Roman" w:cs="Times New Roman"/>
        </w:rPr>
        <w:t>business development, ecosystem, Nordic countries, Porter’s five forces, value networks</w:t>
      </w:r>
    </w:p>
    <w:p w14:paraId="7AD9A5D9" w14:textId="77777777" w:rsidR="00E57953" w:rsidRPr="002C438C" w:rsidRDefault="00E57953" w:rsidP="00877BEC">
      <w:pPr>
        <w:pStyle w:val="ListParagraph"/>
        <w:numPr>
          <w:ilvl w:val="0"/>
          <w:numId w:val="1"/>
        </w:numPr>
        <w:spacing w:before="360" w:after="120" w:line="240" w:lineRule="auto"/>
        <w:ind w:left="357" w:hanging="357"/>
        <w:jc w:val="both"/>
        <w:rPr>
          <w:rFonts w:ascii="Times New Roman" w:hAnsi="Times New Roman" w:cs="Times New Roman"/>
          <w:b/>
          <w:sz w:val="28"/>
          <w:szCs w:val="28"/>
        </w:rPr>
      </w:pPr>
      <w:r w:rsidRPr="002C438C">
        <w:rPr>
          <w:rFonts w:ascii="Times New Roman" w:hAnsi="Times New Roman" w:cs="Times New Roman"/>
          <w:b/>
          <w:sz w:val="28"/>
          <w:szCs w:val="28"/>
        </w:rPr>
        <w:t>Introduction</w:t>
      </w:r>
    </w:p>
    <w:p w14:paraId="213418AC" w14:textId="0B65BCC3" w:rsidR="002C438C" w:rsidRPr="006A0927" w:rsidRDefault="002C438C" w:rsidP="006A0927">
      <w:pPr>
        <w:shd w:val="clear" w:color="auto" w:fill="FFFFFF"/>
        <w:spacing w:before="120" w:after="120" w:line="240" w:lineRule="auto"/>
        <w:jc w:val="both"/>
        <w:rPr>
          <w:rFonts w:ascii="Times New Roman" w:eastAsia="SimSun" w:hAnsi="Times New Roman" w:cs="Times New Roman"/>
          <w:sz w:val="24"/>
        </w:rPr>
      </w:pPr>
      <w:r w:rsidRPr="002C438C">
        <w:rPr>
          <w:rFonts w:ascii="Times New Roman" w:eastAsia="SimSun" w:hAnsi="Times New Roman" w:cs="Times New Roman"/>
        </w:rPr>
        <w:t>Various scholars state that intellectual capital (IC) can increase a company’s competitiveness (Delgado-Verde et al., 2015; Martin-de-Castro et al., 2013) and that it can also act as a strategic asset during crises (</w:t>
      </w:r>
      <w:proofErr w:type="spellStart"/>
      <w:r w:rsidRPr="002C438C">
        <w:rPr>
          <w:rFonts w:ascii="Times New Roman" w:eastAsia="SimSun" w:hAnsi="Times New Roman" w:cs="Times New Roman"/>
        </w:rPr>
        <w:t>Kehelwalatenna</w:t>
      </w:r>
      <w:proofErr w:type="spellEnd"/>
      <w:r w:rsidRPr="002C438C">
        <w:rPr>
          <w:rFonts w:ascii="Times New Roman" w:eastAsia="SimSun" w:hAnsi="Times New Roman" w:cs="Times New Roman"/>
        </w:rPr>
        <w:t xml:space="preserve">, 2016; Mohapatra et al., 2019). Still, it must be stated that the IC topic is rarely approached in the hospitality literature although this is a knowledge-driven economic sector </w:t>
      </w:r>
      <w:proofErr w:type="gramStart"/>
      <w:r w:rsidRPr="002C438C">
        <w:rPr>
          <w:rFonts w:ascii="Times New Roman" w:eastAsia="SimSun" w:hAnsi="Times New Roman" w:cs="Times New Roman"/>
        </w:rPr>
        <w:t>due to the fact that</w:t>
      </w:r>
      <w:proofErr w:type="gramEnd"/>
      <w:r w:rsidRPr="002C438C">
        <w:rPr>
          <w:rFonts w:ascii="Times New Roman" w:eastAsia="SimSun" w:hAnsi="Times New Roman" w:cs="Times New Roman"/>
        </w:rPr>
        <w:t xml:space="preserve"> people “do not buy service delivery, they buy experiences; they do not buy service quality, they buy memories” (Hemmington, 2007, p.749). However, some attempts have been made regarding the importance of IC for the hotel industry (Khalique et al., 2020; Liu &amp; Jiang, 2020; Li &amp; Liu, 2018) while research in the restaurant industry remains limited. Fernandez-Perez de la Lastra et al. (2020) and </w:t>
      </w:r>
      <w:r w:rsidRPr="002C438C">
        <w:rPr>
          <w:rFonts w:ascii="Times New Roman" w:eastAsia="SimSun" w:hAnsi="Times New Roman" w:cs="Times New Roman"/>
        </w:rPr>
        <w:lastRenderedPageBreak/>
        <w:t>Leon (2021) are the only ones that have brought forward the impact of IC on restaurant development. Thus, Fernandez-Perez de la Lastra et al. (2020) prove that haute cuisine restaurants could develop their ambidextrous capabilities through their IC while Leon (2021) shows that structural and relational capital can predict restaurants’ strategic de</w:t>
      </w:r>
      <w:r w:rsidRPr="006A0927">
        <w:rPr>
          <w:rFonts w:ascii="Times New Roman" w:eastAsia="SimSun" w:hAnsi="Times New Roman" w:cs="Times New Roman"/>
          <w:sz w:val="24"/>
        </w:rPr>
        <w:t xml:space="preserve">cisions in times of crisis. Nevertheless, firm maturity is not taken into consideration, although previous studies (Forte et al., 2017; Lee &amp; Lin, 2019) show that a firm’s age is a strong </w:t>
      </w:r>
      <w:proofErr w:type="gramStart"/>
      <w:r w:rsidRPr="006A0927">
        <w:rPr>
          <w:rFonts w:ascii="Times New Roman" w:eastAsia="SimSun" w:hAnsi="Times New Roman" w:cs="Times New Roman"/>
          <w:sz w:val="24"/>
        </w:rPr>
        <w:t>influencer</w:t>
      </w:r>
      <w:proofErr w:type="gramEnd"/>
      <w:r w:rsidRPr="006A0927">
        <w:rPr>
          <w:rFonts w:ascii="Times New Roman" w:eastAsia="SimSun" w:hAnsi="Times New Roman" w:cs="Times New Roman"/>
          <w:sz w:val="24"/>
        </w:rPr>
        <w:t xml:space="preserve"> of IC performance. </w:t>
      </w:r>
    </w:p>
    <w:p w14:paraId="66A33A5A" w14:textId="77777777" w:rsidR="002C438C" w:rsidRPr="006A0927" w:rsidRDefault="002C438C" w:rsidP="006A0927">
      <w:pPr>
        <w:shd w:val="clear" w:color="auto" w:fill="FFFFFF"/>
        <w:spacing w:before="120" w:after="120" w:line="240" w:lineRule="auto"/>
        <w:jc w:val="both"/>
        <w:rPr>
          <w:rFonts w:ascii="Times New Roman" w:eastAsia="SimSun" w:hAnsi="Times New Roman" w:cs="Times New Roman"/>
          <w:sz w:val="24"/>
        </w:rPr>
      </w:pPr>
      <w:r w:rsidRPr="006A0927">
        <w:rPr>
          <w:rFonts w:ascii="Times New Roman" w:eastAsia="SimSun" w:hAnsi="Times New Roman" w:cs="Times New Roman"/>
          <w:sz w:val="24"/>
        </w:rPr>
        <w:t>Furthermore, when it comes to the changes that occur at the industry and society level, most studies from the IC management field concentrate on economic crisis periods and neglect the transitions from Industry 3.0 to Industry 4.0 and from Industry 4.0 to Industry 5.0. The latter is the most recent one and it brings forward a change of perspective, putting human resources at the center of economic activity and enabling human-technology collaboration (Leon et al., 2024; Nand et al., 2023).</w:t>
      </w:r>
    </w:p>
    <w:p w14:paraId="1F026D8F" w14:textId="77777777" w:rsidR="002C438C" w:rsidRPr="006A0927" w:rsidRDefault="002C438C" w:rsidP="006A0927">
      <w:pPr>
        <w:shd w:val="clear" w:color="auto" w:fill="FFFFFF"/>
        <w:spacing w:before="120" w:after="120" w:line="240" w:lineRule="auto"/>
        <w:jc w:val="both"/>
        <w:rPr>
          <w:rFonts w:ascii="Times New Roman" w:eastAsia="SimSun" w:hAnsi="Times New Roman" w:cs="Times New Roman"/>
          <w:sz w:val="24"/>
        </w:rPr>
      </w:pPr>
      <w:r w:rsidRPr="006A0927">
        <w:rPr>
          <w:rFonts w:ascii="Times New Roman" w:eastAsia="SimSun" w:hAnsi="Times New Roman" w:cs="Times New Roman"/>
          <w:sz w:val="24"/>
        </w:rPr>
        <w:t xml:space="preserve">The current research aims to fill these gaps by providing an answer to the following question: In the context of transitioning from Industry 4.0 to Industry 5.0, would IC dimensions be able to anticipate the reactions of young, developmental, and mature restaurants? In other words, could IC dimensions be used to predict whether young, developmental, or mature restaurants will be more tempted to adapt to market demands rather than adopting a stability strategy, in the context of a fast transition from Industry 4.0 to Industry 5.0? </w:t>
      </w:r>
      <w:proofErr w:type="gramStart"/>
      <w:r w:rsidRPr="006A0927">
        <w:rPr>
          <w:rFonts w:ascii="Times New Roman" w:eastAsia="SimSun" w:hAnsi="Times New Roman" w:cs="Times New Roman"/>
          <w:sz w:val="24"/>
        </w:rPr>
        <w:t>In order to</w:t>
      </w:r>
      <w:proofErr w:type="gramEnd"/>
      <w:r w:rsidRPr="006A0927">
        <w:rPr>
          <w:rFonts w:ascii="Times New Roman" w:eastAsia="SimSun" w:hAnsi="Times New Roman" w:cs="Times New Roman"/>
          <w:sz w:val="24"/>
        </w:rPr>
        <w:t xml:space="preserve"> provide an answer to this question, an exploratory longitudinal study was developed among 366 restaurants from Romania.</w:t>
      </w:r>
    </w:p>
    <w:p w14:paraId="3B31B8C7" w14:textId="77777777" w:rsidR="002C438C" w:rsidRPr="002C438C" w:rsidRDefault="002C438C" w:rsidP="006A0927">
      <w:pPr>
        <w:shd w:val="clear" w:color="auto" w:fill="FFFFFF"/>
        <w:spacing w:before="120" w:after="120" w:line="240" w:lineRule="auto"/>
        <w:jc w:val="both"/>
        <w:rPr>
          <w:rFonts w:ascii="Times New Roman" w:eastAsia="SimSun" w:hAnsi="Times New Roman" w:cs="Times New Roman"/>
        </w:rPr>
      </w:pPr>
      <w:r w:rsidRPr="006A0927">
        <w:rPr>
          <w:rFonts w:ascii="Times New Roman" w:eastAsia="SimSun" w:hAnsi="Times New Roman" w:cs="Times New Roman"/>
          <w:sz w:val="24"/>
        </w:rPr>
        <w:t xml:space="preserve">The current article is structured as follows. Section 2 highlights the theoretical foundation and brings forward IC characteristics. </w:t>
      </w:r>
      <w:r w:rsidRPr="002C438C">
        <w:rPr>
          <w:rFonts w:ascii="Times New Roman" w:eastAsia="SimSun" w:hAnsi="Times New Roman" w:cs="Times New Roman"/>
          <w:sz w:val="24"/>
        </w:rPr>
        <w:t>Section 3 presents the methodological design, while Section 4 sheds light on the main results. Section 5 closes this article by synthesizing the main conclusions and emphasizing several theoretical and practical implicat</w:t>
      </w:r>
      <w:r w:rsidRPr="002C438C">
        <w:rPr>
          <w:rFonts w:ascii="Times New Roman" w:eastAsia="SimSun" w:hAnsi="Times New Roman" w:cs="Times New Roman"/>
        </w:rPr>
        <w:t>ions of the results.</w:t>
      </w:r>
    </w:p>
    <w:p w14:paraId="7D8A7C1C" w14:textId="7E06AD9A" w:rsidR="002C438C" w:rsidRPr="002C438C" w:rsidRDefault="002C438C" w:rsidP="002C438C">
      <w:pPr>
        <w:pStyle w:val="ListParagraph"/>
        <w:numPr>
          <w:ilvl w:val="0"/>
          <w:numId w:val="1"/>
        </w:numPr>
        <w:spacing w:before="360" w:after="120" w:line="240" w:lineRule="auto"/>
        <w:ind w:left="357" w:hanging="357"/>
        <w:jc w:val="both"/>
        <w:rPr>
          <w:rFonts w:ascii="Times New Roman" w:hAnsi="Times New Roman" w:cs="Times New Roman"/>
          <w:b/>
          <w:sz w:val="28"/>
          <w:szCs w:val="28"/>
        </w:rPr>
      </w:pPr>
      <w:r w:rsidRPr="002C438C">
        <w:rPr>
          <w:rFonts w:ascii="Times New Roman" w:hAnsi="Times New Roman" w:cs="Times New Roman"/>
          <w:b/>
          <w:sz w:val="28"/>
          <w:szCs w:val="28"/>
        </w:rPr>
        <w:t xml:space="preserve">Theoretical </w:t>
      </w:r>
      <w:r w:rsidR="0029675A" w:rsidRPr="002C438C">
        <w:rPr>
          <w:rFonts w:ascii="Times New Roman" w:hAnsi="Times New Roman" w:cs="Times New Roman"/>
          <w:b/>
          <w:sz w:val="28"/>
          <w:szCs w:val="28"/>
        </w:rPr>
        <w:t>Background</w:t>
      </w:r>
    </w:p>
    <w:p w14:paraId="44C84BDC"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rPr>
        <w:t>The IC-based view of the firm develops as an extension of the resource-based theory, and it concentrates on the knowledge created and stored in a firm’s capital (Martin-de-Castro, 2014). Thus, it deals with the explicit and tacit knowledge incorporated in the relationships and networks established among people, groups, and organizatio</w:t>
      </w:r>
      <w:r w:rsidRPr="006A0927">
        <w:rPr>
          <w:rFonts w:ascii="Times New Roman" w:hAnsi="Times New Roman" w:cs="Times New Roman"/>
          <w:sz w:val="24"/>
        </w:rPr>
        <w:t>ns. It is usually defined as the sum of all the knowledge and knowledge capabilities that can increase a firm’s competitiveness (Youndt et al., 2004) through its rarity, inimitability, non-substitutability, and non-observable nature (</w:t>
      </w:r>
      <w:proofErr w:type="spellStart"/>
      <w:r w:rsidRPr="006A0927">
        <w:rPr>
          <w:rFonts w:ascii="Times New Roman" w:hAnsi="Times New Roman" w:cs="Times New Roman"/>
          <w:sz w:val="24"/>
        </w:rPr>
        <w:t>Kehelwalatenna</w:t>
      </w:r>
      <w:proofErr w:type="spellEnd"/>
      <w:r w:rsidRPr="006A0927">
        <w:rPr>
          <w:rFonts w:ascii="Times New Roman" w:hAnsi="Times New Roman" w:cs="Times New Roman"/>
          <w:sz w:val="24"/>
        </w:rPr>
        <w:t>, 2016).</w:t>
      </w:r>
    </w:p>
    <w:p w14:paraId="53132358"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Various scholars and practitioners (Jardon, 2018; Martin-de-Castro et al., 2014) present IC as a strategic asset that can be divided into human, structural (organizational), and relational capital. Human capital incorporates employees’ know-how, abilities, competencies, talent, and skills, and it is the largest and most important intangible asset of the firm due to its role in driving innovation (De Winne &amp; Sels, 2010). Structural capital is defined as “knowledge, skills, experiences, and information that are institutionalized, codified, and used in relation to databases, patents, manuals, structures, systems, routines, and processes” (Jardon, 2018, p.136); it reflects a firm’s capacity to deploy and develop more resources in the market and quickly adapt to environmental challenges (Liu &amp; Jiang, 2020). Last but not least, relational capital refers to “the value of the organization to the relationships that it maintains with the main agents connected with its basic business processes – customers, suppliers, allies, etc. – as well as the value of the organization of the relationship that it maintains with other social agents” (Martin-de-Castro et al., 2010, p.653), and it has the greatest influence on a firm’s financial performance and sustainable growth rate (Xu &amp; Wang, 2018).</w:t>
      </w:r>
    </w:p>
    <w:p w14:paraId="203FBA71"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lastRenderedPageBreak/>
        <w:t>Although previous studies emphasized t</w:t>
      </w:r>
      <w:r w:rsidRPr="002C438C">
        <w:rPr>
          <w:rFonts w:ascii="Times New Roman" w:hAnsi="Times New Roman" w:cs="Times New Roman"/>
        </w:rPr>
        <w:t>he critical role of IC in ensuring a firm’s competitive advantage (Delgado-Verde et al., 2015), most of the analyses concentrated on the information technology sector and the pharmaceutical industry (</w:t>
      </w:r>
      <w:proofErr w:type="spellStart"/>
      <w:r w:rsidRPr="002C438C">
        <w:rPr>
          <w:rFonts w:ascii="Times New Roman" w:hAnsi="Times New Roman" w:cs="Times New Roman"/>
        </w:rPr>
        <w:t>Bontis</w:t>
      </w:r>
      <w:proofErr w:type="spellEnd"/>
      <w:r w:rsidRPr="002C438C">
        <w:rPr>
          <w:rFonts w:ascii="Times New Roman" w:hAnsi="Times New Roman" w:cs="Times New Roman"/>
        </w:rPr>
        <w:t xml:space="preserve"> et al., </w:t>
      </w:r>
      <w:r w:rsidRPr="0029675A">
        <w:rPr>
          <w:rFonts w:ascii="Times New Roman" w:hAnsi="Times New Roman" w:cs="Times New Roman"/>
          <w:sz w:val="24"/>
        </w:rPr>
        <w:t>2015). The service industry, especially the hospitality and tourism industry, is neglected, although it is more dynamic in terms of value creation (Battisti et al., 2015) and i</w:t>
      </w:r>
      <w:r w:rsidRPr="006A0927">
        <w:rPr>
          <w:rFonts w:ascii="Times New Roman" w:hAnsi="Times New Roman" w:cs="Times New Roman"/>
          <w:sz w:val="24"/>
        </w:rPr>
        <w:t>ts existence is based on creating and selling experiences (Hemmington, 2007) which are by nature intangible.</w:t>
      </w:r>
    </w:p>
    <w:p w14:paraId="47E041DD"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Still, some attempts have been made recently. Some researchers adopt a general, cross-sectional perspective and prove that IC has a positive influence on competitive advantage (Khalique et al., 2020; Li &amp; Liu, 2018), while others adopt a particular, predictive perspective and state that IC fosters the prediction of customer needs (Liu, 2017), facilitates problem identification (Li &amp; Liu, 2018), and that its dimensions (human, structural, and relational capital) can act as a catalyst in developing brand equity (Liu &amp; Jiang, 2020). However, these studies focus on the hotel industry (Khalique et al., 2020; Li &amp; Liu, 2018; Liu &amp; Jiang, 2020), while research regarding the use of IC in the restaurant industry remains in an embryonic stage of development. Fernandez-Perez de la Lastra et al. (2020) and Leon (2021) are the only ones that have brought forward the importance of IC for restaurants development and strategic behavior. Fernandez-Perez de la Lastra et al. (2020) prove that haute cuisine restaurants could develop their ambidextrous capabilities through their IC. Nevertheless, the same rules could apply to all the restaurants, since all of them operate on a dynamic market (customer preferences change faster and faster), they have to continuously absorb and process internal and external explicit and tacit knowledge, and they have to improve their capacities and capabilities in order to satisfy customer needs and positively respond to market challenges.</w:t>
      </w:r>
    </w:p>
    <w:p w14:paraId="014B99B3"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On the other hand, the studies developed so far tend to analyze IC’s impact on a firm’s competitiveness and behavior during growth periods (Fernandez-Perez de la Lastra et al., 2020; Liu &amp; Jiang, 2020). In other words, they prove that IC improves a company’s capacity to capitalize on market opportunities (</w:t>
      </w:r>
      <w:proofErr w:type="spellStart"/>
      <w:r w:rsidRPr="006A0927">
        <w:rPr>
          <w:rFonts w:ascii="Times New Roman" w:hAnsi="Times New Roman" w:cs="Times New Roman"/>
          <w:sz w:val="24"/>
        </w:rPr>
        <w:t>Rienda</w:t>
      </w:r>
      <w:proofErr w:type="spellEnd"/>
      <w:r w:rsidRPr="006A0927">
        <w:rPr>
          <w:rFonts w:ascii="Times New Roman" w:hAnsi="Times New Roman" w:cs="Times New Roman"/>
          <w:sz w:val="24"/>
        </w:rPr>
        <w:t xml:space="preserve"> et al., 2020; Romero &amp; </w:t>
      </w:r>
      <w:proofErr w:type="spellStart"/>
      <w:r w:rsidRPr="006A0927">
        <w:rPr>
          <w:rFonts w:ascii="Times New Roman" w:hAnsi="Times New Roman" w:cs="Times New Roman"/>
          <w:sz w:val="24"/>
        </w:rPr>
        <w:t>Tajeda</w:t>
      </w:r>
      <w:proofErr w:type="spellEnd"/>
      <w:r w:rsidRPr="006A0927">
        <w:rPr>
          <w:rFonts w:ascii="Times New Roman" w:hAnsi="Times New Roman" w:cs="Times New Roman"/>
          <w:sz w:val="24"/>
        </w:rPr>
        <w:t>, 2020) when the economy is predictable. However, according to Li and Liu (2018), a higher level of IC should increase a company’s problem identification and solution procedures. Thus, IC should be a strategic asset during periods of change.</w:t>
      </w:r>
    </w:p>
    <w:p w14:paraId="4C541668"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 xml:space="preserve">A firm’s level of maturity is usually measured based on the length of establishment (the business age), which emphasizes a company’s experience on the market (Lee &amp; Lin, 2019). Its influence on a firm’s behavior and performance is presented in both IC literature and change management literature, but the results obtained so far are contradictory. In the IC literature, some scholars (Goebel, 2015) argue that there is no significant relationship between a firm’s level of maturity and IC value, while others (Lee &amp; Lin, 2019; </w:t>
      </w:r>
      <w:proofErr w:type="spellStart"/>
      <w:r w:rsidRPr="006A0927">
        <w:rPr>
          <w:rFonts w:ascii="Times New Roman" w:hAnsi="Times New Roman" w:cs="Times New Roman"/>
          <w:sz w:val="24"/>
        </w:rPr>
        <w:t>Temouri</w:t>
      </w:r>
      <w:proofErr w:type="spellEnd"/>
      <w:r w:rsidRPr="006A0927">
        <w:rPr>
          <w:rFonts w:ascii="Times New Roman" w:hAnsi="Times New Roman" w:cs="Times New Roman"/>
          <w:sz w:val="24"/>
        </w:rPr>
        <w:t xml:space="preserve"> et al., 2021) claim that such a relationship does exist. However, the opinions within the latter category are split. On the one hand, Lee and Lin (2019) indicate that mature (older) firms have better results in accumulating and using their IC, since they have a better reputation among clients, better professional competence, and they can use their rich </w:t>
      </w:r>
      <w:proofErr w:type="gramStart"/>
      <w:r w:rsidRPr="006A0927">
        <w:rPr>
          <w:rFonts w:ascii="Times New Roman" w:hAnsi="Times New Roman" w:cs="Times New Roman"/>
          <w:sz w:val="24"/>
        </w:rPr>
        <w:t>past experience</w:t>
      </w:r>
      <w:proofErr w:type="gramEnd"/>
      <w:r w:rsidRPr="006A0927">
        <w:rPr>
          <w:rFonts w:ascii="Times New Roman" w:hAnsi="Times New Roman" w:cs="Times New Roman"/>
          <w:sz w:val="24"/>
        </w:rPr>
        <w:t xml:space="preserve">. On the other hand, </w:t>
      </w:r>
      <w:proofErr w:type="spellStart"/>
      <w:r w:rsidRPr="006A0927">
        <w:rPr>
          <w:rFonts w:ascii="Times New Roman" w:hAnsi="Times New Roman" w:cs="Times New Roman"/>
          <w:sz w:val="24"/>
        </w:rPr>
        <w:t>Temouri</w:t>
      </w:r>
      <w:proofErr w:type="spellEnd"/>
      <w:r w:rsidRPr="006A0927">
        <w:rPr>
          <w:rFonts w:ascii="Times New Roman" w:hAnsi="Times New Roman" w:cs="Times New Roman"/>
          <w:sz w:val="24"/>
        </w:rPr>
        <w:t xml:space="preserve"> et al. (2021) show that there is a negative relationship between a firm’s level of maturity and IC value </w:t>
      </w:r>
      <w:proofErr w:type="gramStart"/>
      <w:r w:rsidRPr="006A0927">
        <w:rPr>
          <w:rFonts w:ascii="Times New Roman" w:hAnsi="Times New Roman" w:cs="Times New Roman"/>
          <w:sz w:val="24"/>
        </w:rPr>
        <w:t>due to the fact that</w:t>
      </w:r>
      <w:proofErr w:type="gramEnd"/>
      <w:r w:rsidRPr="006A0927">
        <w:rPr>
          <w:rFonts w:ascii="Times New Roman" w:hAnsi="Times New Roman" w:cs="Times New Roman"/>
          <w:sz w:val="24"/>
        </w:rPr>
        <w:t xml:space="preserve"> as a firm gets older, its structure and processes become rigid and its knowledge becomes obsolete. </w:t>
      </w:r>
    </w:p>
    <w:p w14:paraId="50EC7E54"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 xml:space="preserve">To broaden the contextual understanding of Industry 5.0, it is valuable to consider its implications and early adoption patterns </w:t>
      </w:r>
      <w:proofErr w:type="gramStart"/>
      <w:r w:rsidRPr="006A0927">
        <w:rPr>
          <w:rFonts w:ascii="Times New Roman" w:hAnsi="Times New Roman" w:cs="Times New Roman"/>
          <w:sz w:val="24"/>
        </w:rPr>
        <w:t>in light of</w:t>
      </w:r>
      <w:proofErr w:type="gramEnd"/>
      <w:r w:rsidRPr="006A0927">
        <w:rPr>
          <w:rFonts w:ascii="Times New Roman" w:hAnsi="Times New Roman" w:cs="Times New Roman"/>
          <w:sz w:val="24"/>
        </w:rPr>
        <w:t xml:space="preserve"> geographic and regional particularities. While the human-centric, sustainable, and resilient principles of Industry 5.0 are universal (</w:t>
      </w:r>
      <w:proofErr w:type="spellStart"/>
      <w:r w:rsidRPr="006A0927">
        <w:rPr>
          <w:rFonts w:ascii="Times New Roman" w:hAnsi="Times New Roman" w:cs="Times New Roman"/>
          <w:sz w:val="24"/>
        </w:rPr>
        <w:t>Breque</w:t>
      </w:r>
      <w:proofErr w:type="spellEnd"/>
      <w:r w:rsidRPr="006A0927">
        <w:rPr>
          <w:rFonts w:ascii="Times New Roman" w:hAnsi="Times New Roman" w:cs="Times New Roman"/>
          <w:sz w:val="24"/>
        </w:rPr>
        <w:t xml:space="preserve"> et al., 2021), their operationalization and strategic priority can vary significantly across different regional economic landscapes. For instance, in Western European and North American contexts, the transition to Industry 5.0 is often framed within discussions of re-</w:t>
      </w:r>
      <w:r w:rsidRPr="006A0927">
        <w:rPr>
          <w:rFonts w:ascii="Times New Roman" w:hAnsi="Times New Roman" w:cs="Times New Roman"/>
          <w:sz w:val="24"/>
        </w:rPr>
        <w:lastRenderedPageBreak/>
        <w:t>shoring, ethical AI, and achieving a sustainable competitive advantag</w:t>
      </w:r>
      <w:r w:rsidRPr="002C438C">
        <w:rPr>
          <w:rFonts w:ascii="Times New Roman" w:hAnsi="Times New Roman" w:cs="Times New Roman"/>
        </w:rPr>
        <w:t xml:space="preserve">e through high-value customization and employee well-being (Xu et al., 2021; </w:t>
      </w:r>
      <w:proofErr w:type="spellStart"/>
      <w:r w:rsidRPr="002C438C">
        <w:rPr>
          <w:rFonts w:ascii="Times New Roman" w:hAnsi="Times New Roman" w:cs="Times New Roman"/>
        </w:rPr>
        <w:t>Nahavandi</w:t>
      </w:r>
      <w:proofErr w:type="spellEnd"/>
      <w:r w:rsidRPr="002C438C">
        <w:rPr>
          <w:rFonts w:ascii="Times New Roman" w:hAnsi="Times New Roman" w:cs="Times New Roman"/>
        </w:rPr>
        <w:t>, 2019). The focus is frequently on integrating advanced technologies like collaborative robotics</w:t>
      </w:r>
      <w:r w:rsidRPr="006A0927">
        <w:rPr>
          <w:rFonts w:ascii="Times New Roman" w:hAnsi="Times New Roman" w:cs="Times New Roman"/>
          <w:sz w:val="24"/>
        </w:rPr>
        <w:t xml:space="preserve"> (</w:t>
      </w:r>
      <w:proofErr w:type="spellStart"/>
      <w:r w:rsidRPr="006A0927">
        <w:rPr>
          <w:rFonts w:ascii="Times New Roman" w:hAnsi="Times New Roman" w:cs="Times New Roman"/>
          <w:sz w:val="24"/>
        </w:rPr>
        <w:t>cobots</w:t>
      </w:r>
      <w:proofErr w:type="spellEnd"/>
      <w:r w:rsidRPr="006A0927">
        <w:rPr>
          <w:rFonts w:ascii="Times New Roman" w:hAnsi="Times New Roman" w:cs="Times New Roman"/>
          <w:sz w:val="24"/>
        </w:rPr>
        <w:t>) and digital twins to augment human skills rather than replace them, particularly in manufacturing and high-tech services.</w:t>
      </w:r>
    </w:p>
    <w:p w14:paraId="1BB74D0F"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 xml:space="preserve">In contrast, emerging economies in Asia have approached Industry 5.0 with a strong emphasis on leveraging it for rapid technological leapfrogging and enhancing supply chain resilience. For example, studies in China highlight the government's role in promoting smart manufacturing initiatives that blend Industry 4.0 technologies with human oversight to maintain flexibility and address skilled labor variations (Jiang et al., 2025). In the hospitality sector specifically, regions like Southeast Asia have seen early adoption of human-technology collaboration in tourism, focusing on hyper-personalized guest experiences powered by AI while retaining high-touch service culture (Ivanov &amp; Webster, 2019). This regional variation suggests that the drivers and manifestations of the </w:t>
      </w:r>
      <w:proofErr w:type="gramStart"/>
      <w:r w:rsidRPr="006A0927">
        <w:rPr>
          <w:rFonts w:ascii="Times New Roman" w:hAnsi="Times New Roman" w:cs="Times New Roman"/>
          <w:sz w:val="24"/>
        </w:rPr>
        <w:t>Industry</w:t>
      </w:r>
      <w:proofErr w:type="gramEnd"/>
      <w:r w:rsidRPr="006A0927">
        <w:rPr>
          <w:rFonts w:ascii="Times New Roman" w:hAnsi="Times New Roman" w:cs="Times New Roman"/>
          <w:sz w:val="24"/>
        </w:rPr>
        <w:t xml:space="preserve"> 5.0 transition are not monolithic but are shaped by local economic structures, labor markets, and policy priorities.</w:t>
      </w:r>
    </w:p>
    <w:p w14:paraId="62140B8B"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This global perspective underscores a critical gap: there is limited empirical research on how the service sector, and particularly the hospitality industry, is navigating this transition in the specific context of Central and Eastern Europe (CEE). The CEE region, with its unique post-transition economic dynamics, specific labor market characteristics, and evolving innovation ecosystems, may present a distinct scenario for Industry 5.0 adoption. Therefore, by focusing on Romania, this study not only addresses a gap in the restaurant-specific IC literature but also contributes a vital case study from an under-represented regional context, allowing for future comparative analyses on how regional factors influence strategic responses to this new industrial paradigm.</w:t>
      </w:r>
    </w:p>
    <w:p w14:paraId="360BBE32" w14:textId="77777777" w:rsidR="002C438C" w:rsidRPr="002C438C" w:rsidRDefault="002C438C" w:rsidP="006A0927">
      <w:pPr>
        <w:shd w:val="clear" w:color="auto" w:fill="FFFFFF"/>
        <w:spacing w:before="120" w:after="120" w:line="240" w:lineRule="auto"/>
        <w:jc w:val="both"/>
        <w:rPr>
          <w:rFonts w:ascii="Times New Roman" w:hAnsi="Times New Roman" w:cs="Times New Roman"/>
        </w:rPr>
      </w:pPr>
      <w:r w:rsidRPr="006A0927">
        <w:rPr>
          <w:rFonts w:ascii="Times New Roman" w:hAnsi="Times New Roman" w:cs="Times New Roman"/>
          <w:sz w:val="24"/>
        </w:rPr>
        <w:t>Given the limited empirical research regarding the role of IC in the restaurant industry, its effect on a firm’s behavior during crises, and the influence of firm matur</w:t>
      </w:r>
      <w:r w:rsidRPr="0029675A">
        <w:rPr>
          <w:rFonts w:ascii="Times New Roman" w:hAnsi="Times New Roman" w:cs="Times New Roman"/>
          <w:sz w:val="24"/>
        </w:rPr>
        <w:t xml:space="preserve">ity, the current article aims to explore the capacity of IC dimensions to anticipate the reactions </w:t>
      </w:r>
      <w:r w:rsidRPr="002C438C">
        <w:rPr>
          <w:rFonts w:ascii="Times New Roman" w:hAnsi="Times New Roman" w:cs="Times New Roman"/>
        </w:rPr>
        <w:t>of the young, developmental, and mature restaurants during their transition to Industry 5.0.</w:t>
      </w:r>
    </w:p>
    <w:p w14:paraId="7B8C50D0" w14:textId="77777777" w:rsidR="002C438C" w:rsidRPr="002C438C" w:rsidRDefault="002C438C" w:rsidP="002C438C">
      <w:pPr>
        <w:pStyle w:val="ListParagraph"/>
        <w:numPr>
          <w:ilvl w:val="0"/>
          <w:numId w:val="1"/>
        </w:numPr>
        <w:spacing w:before="360" w:after="120" w:line="240" w:lineRule="auto"/>
        <w:ind w:left="357" w:hanging="357"/>
        <w:jc w:val="both"/>
        <w:rPr>
          <w:rFonts w:ascii="Times New Roman" w:hAnsi="Times New Roman" w:cs="Times New Roman"/>
          <w:b/>
          <w:sz w:val="28"/>
          <w:szCs w:val="28"/>
        </w:rPr>
      </w:pPr>
      <w:r w:rsidRPr="002C438C">
        <w:rPr>
          <w:rFonts w:ascii="Times New Roman" w:hAnsi="Times New Roman" w:cs="Times New Roman"/>
          <w:b/>
          <w:sz w:val="28"/>
          <w:szCs w:val="28"/>
        </w:rPr>
        <w:t>Methodology</w:t>
      </w:r>
    </w:p>
    <w:p w14:paraId="510534CC"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rPr>
        <w:t xml:space="preserve">The research aims to determine if the IC dimensions influence the reactions of </w:t>
      </w:r>
      <w:proofErr w:type="gramStart"/>
      <w:r w:rsidRPr="002C438C">
        <w:rPr>
          <w:rFonts w:ascii="Times New Roman" w:hAnsi="Times New Roman" w:cs="Times New Roman"/>
        </w:rPr>
        <w:t>the young</w:t>
      </w:r>
      <w:proofErr w:type="gramEnd"/>
      <w:r w:rsidRPr="002C438C">
        <w:rPr>
          <w:rFonts w:ascii="Times New Roman" w:hAnsi="Times New Roman" w:cs="Times New Roman"/>
        </w:rPr>
        <w:t>, developmental, and mature restaurants during their transition to Industry 5.0. Therefore, the following research objectives are pursued: (</w:t>
      </w:r>
      <w:proofErr w:type="spellStart"/>
      <w:r w:rsidRPr="002C438C">
        <w:rPr>
          <w:rFonts w:ascii="Times New Roman" w:hAnsi="Times New Roman" w:cs="Times New Roman"/>
        </w:rPr>
        <w:t>i</w:t>
      </w:r>
      <w:proofErr w:type="spellEnd"/>
      <w:r w:rsidRPr="002C438C">
        <w:rPr>
          <w:rFonts w:ascii="Times New Roman" w:hAnsi="Times New Roman" w:cs="Times New Roman"/>
        </w:rPr>
        <w:t>) to analyze restaurants’ behavior during their transition to Industry 5.0; (ii) to determ</w:t>
      </w:r>
      <w:r w:rsidRPr="0029675A">
        <w:rPr>
          <w:rFonts w:ascii="Times New Roman" w:hAnsi="Times New Roman" w:cs="Times New Roman"/>
          <w:sz w:val="24"/>
        </w:rPr>
        <w:t>ine the influence of human, structural, and relational capital on restaurants’ behavior; (iii) to analyze the influenc</w:t>
      </w:r>
      <w:r w:rsidRPr="006A0927">
        <w:rPr>
          <w:rFonts w:ascii="Times New Roman" w:hAnsi="Times New Roman" w:cs="Times New Roman"/>
          <w:sz w:val="24"/>
        </w:rPr>
        <w:t>e of restaurants’ maturity on the relationship between IC dimensions and strategic behavior before and after their transition to Industry 5.0.</w:t>
      </w:r>
    </w:p>
    <w:p w14:paraId="4FC74C0D"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 xml:space="preserve">The analysis focuses on restaurants from Romania. According to the National Institute of Statistics (2023), there are 12824 restaurants on the local market which employ over 88968 </w:t>
      </w:r>
      <w:proofErr w:type="gramStart"/>
      <w:r w:rsidRPr="006A0927">
        <w:rPr>
          <w:rFonts w:ascii="Times New Roman" w:hAnsi="Times New Roman" w:cs="Times New Roman"/>
          <w:sz w:val="24"/>
        </w:rPr>
        <w:t>persons</w:t>
      </w:r>
      <w:proofErr w:type="gramEnd"/>
      <w:r w:rsidRPr="006A0927">
        <w:rPr>
          <w:rFonts w:ascii="Times New Roman" w:hAnsi="Times New Roman" w:cs="Times New Roman"/>
          <w:sz w:val="24"/>
        </w:rPr>
        <w:t xml:space="preserve">. From these, 7678 restaurants are listed on TripAdvisor as “the best restaurants from Romania”. The methodological rigor of this study is contingent upon the careful selection of a sampling frame that ensures the validity and generalizability of the findings. The sampling frame is constructed in a multi-stage process to balance feasibility with the strategic objective of targeting establishments most likely to be engaged in strategic adaptation and technological transition. The initial population is correctly anchored in official data. The critical refinement </w:t>
      </w:r>
      <w:proofErr w:type="gramStart"/>
      <w:r w:rsidRPr="006A0927">
        <w:rPr>
          <w:rFonts w:ascii="Times New Roman" w:hAnsi="Times New Roman" w:cs="Times New Roman"/>
          <w:sz w:val="24"/>
        </w:rPr>
        <w:t>to</w:t>
      </w:r>
      <w:proofErr w:type="gramEnd"/>
      <w:r w:rsidRPr="006A0927">
        <w:rPr>
          <w:rFonts w:ascii="Times New Roman" w:hAnsi="Times New Roman" w:cs="Times New Roman"/>
          <w:sz w:val="24"/>
        </w:rPr>
        <w:t xml:space="preserve"> restaurants listed on TripAdvisor is a deliberate and </w:t>
      </w:r>
      <w:r w:rsidRPr="002C438C">
        <w:rPr>
          <w:rFonts w:ascii="Times New Roman" w:hAnsi="Times New Roman" w:cs="Times New Roman"/>
        </w:rPr>
        <w:t xml:space="preserve">justifiable strategic choice. The transition to Industry 5.0, characterized by human-technology collaboration and a focus on experience, is likely to be first adopted by market leaders and more proactive firms. These "best" restaurants, as curated by a major digital platform, are precisely the entities for which strategic decisions regarding IC and technological adaptation are most relevant and observable. They are more likely to have an online </w:t>
      </w:r>
      <w:r w:rsidRPr="002C438C">
        <w:rPr>
          <w:rFonts w:ascii="Times New Roman" w:hAnsi="Times New Roman" w:cs="Times New Roman"/>
        </w:rPr>
        <w:lastRenderedPageBreak/>
        <w:t xml:space="preserve">presence, publicly available financial reports, and a strategic orientation </w:t>
      </w:r>
      <w:r w:rsidRPr="006A0927">
        <w:rPr>
          <w:rFonts w:ascii="Times New Roman" w:hAnsi="Times New Roman" w:cs="Times New Roman"/>
          <w:sz w:val="24"/>
        </w:rPr>
        <w:t>that makes them early candidates for navigating industrial paradigm shifts. Therefore, this frame effectively targets the relevant population for this specific phenomenon, rather than the entire population of restaurants, many of which may be small, informal, or not strategically engaged with such transitions.</w:t>
      </w:r>
    </w:p>
    <w:p w14:paraId="2BBD75AD"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 xml:space="preserve">From this refined frame of 7678 establishments, a sample of 366 restaurants is extracted using the step-method, corresponding to a 95% confidence level and a </w:t>
      </w:r>
      <w:proofErr w:type="gramStart"/>
      <w:r w:rsidRPr="006A0927">
        <w:rPr>
          <w:rFonts w:ascii="Times New Roman" w:hAnsi="Times New Roman" w:cs="Times New Roman"/>
          <w:sz w:val="24"/>
        </w:rPr>
        <w:t>+/-</w:t>
      </w:r>
      <w:proofErr w:type="gramEnd"/>
      <w:r w:rsidRPr="006A0927">
        <w:rPr>
          <w:rFonts w:ascii="Times New Roman" w:hAnsi="Times New Roman" w:cs="Times New Roman"/>
          <w:sz w:val="24"/>
        </w:rPr>
        <w:t>5 confidence interval. This sample size is statistically appropriate for the defined frame and provides a robust basis for quantitative analysis. The use of a systematic step-method suggests a structured approach to selection, which minimizes selection bias within this specific group. Furthermore, the distribution of the sample across maturity stages (Young: 41.53%, Developmental: 24.59%, Mature: 33.88%) indicates that the sample is statistically representative by structure, allowing meaningful comparative analysis.</w:t>
      </w:r>
    </w:p>
    <w:p w14:paraId="1E58375B"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The analysis concentrates on restaurants’ economic behavior before and after their transition to Industry 5.0. Thus, data regarding restaurants’ actions during Industry 4.0 are collected in December 2015, while data regarding restaurants’ actions during their transition to Industry 5.0 are collected in May 2025. Data are collected from companies’ websites and are coded as a dummy variable (“0” – for stability strategies, “1” – for adaptive strategies).</w:t>
      </w:r>
    </w:p>
    <w:p w14:paraId="395058CE"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 xml:space="preserve">To ensure robustness and reliability, a rigorous content analysis procedure is employed. The coding scheme is operationalized as follows. A 'stability strategy' (coded as 0) is defined by observable indicators of maintaining the status quo, such as: no mention of new technology integration (e.g., AI, IoT, automation), absence of new service or experiential offerings, no changes to business models or operational processes described, and a primary communication focus on traditional culinary excellence and established practices. Conversely, an 'adaptive strategy' (coded as 1) is defined by indicators of proactive change aligned with Industry 5.0 principles, including: the introduction of technologies that collaborate with staff (e.g., </w:t>
      </w:r>
      <w:proofErr w:type="spellStart"/>
      <w:r w:rsidRPr="006A0927">
        <w:rPr>
          <w:rFonts w:ascii="Times New Roman" w:hAnsi="Times New Roman" w:cs="Times New Roman"/>
          <w:sz w:val="24"/>
        </w:rPr>
        <w:t>cobots</w:t>
      </w:r>
      <w:proofErr w:type="spellEnd"/>
      <w:r w:rsidRPr="006A0927">
        <w:rPr>
          <w:rFonts w:ascii="Times New Roman" w:hAnsi="Times New Roman" w:cs="Times New Roman"/>
          <w:sz w:val="24"/>
        </w:rPr>
        <w:t xml:space="preserve"> in kitchens, AI for personalized menu recommendations), the implementation of new digital platforms for customer engagement (e.g., app-based loyalty programs, augmented reality menus), the launch of new experiential dining concepts, and explicit communication regarding process innovation or business model adaptation to enhance human-centricity and resilience.</w:t>
      </w:r>
    </w:p>
    <w:p w14:paraId="5A6B99E5"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The content analysis is conducted by the authors and two experts in knowledge management. To assess inter-rater reliability, a random sub-sample of 50 restaurants (13.7% of the total sample) is coded independently by all raters (the authors and knowledge management experts). The inter-rater agreement is determined using Cohen's Kappa (κ), which accounts for agreement by chance. The resulting κ coefficient is 0.89, indicating an 'almost perfect' level of agreement according to conventional benchmarks (Landis &amp; Koch, 1977). Any discrepancies in coding for this sub-sample are resolved through discussion, leading to a refinement of the coding protocol for clarity. The remaining websites are then divided between the authors and the knowledge management experts for coding. This process ensures that the classification of restaurant strategy is both valid and highly reliable.</w:t>
      </w:r>
    </w:p>
    <w:p w14:paraId="6CFBD5D5" w14:textId="77777777" w:rsidR="002C438C" w:rsidRPr="002C438C"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The dimensions of restaurants’ IC are measured using financial proxies derived from companies’ financial reports, a well-established p</w:t>
      </w:r>
      <w:r w:rsidRPr="002C438C">
        <w:rPr>
          <w:rFonts w:ascii="Times New Roman" w:hAnsi="Times New Roman" w:cs="Times New Roman"/>
          <w:sz w:val="24"/>
        </w:rPr>
        <w:t xml:space="preserve">ractice in IC literature due to their objectivity and standardization. Following the model established by Sardo et al. (2018), the following IC proxies are considered for each dimension: </w:t>
      </w:r>
    </w:p>
    <w:p w14:paraId="14473EF2" w14:textId="77777777" w:rsidR="002C438C" w:rsidRPr="002C438C" w:rsidRDefault="002C438C" w:rsidP="002C438C">
      <w:pPr>
        <w:pStyle w:val="ListParagraph"/>
        <w:numPr>
          <w:ilvl w:val="0"/>
          <w:numId w:val="13"/>
        </w:numPr>
        <w:shd w:val="clear" w:color="auto" w:fill="FFFFFF"/>
        <w:autoSpaceDE w:val="0"/>
        <w:autoSpaceDN w:val="0"/>
        <w:spacing w:before="120" w:after="0" w:line="240" w:lineRule="auto"/>
        <w:jc w:val="both"/>
        <w:rPr>
          <w:rFonts w:ascii="Times New Roman" w:hAnsi="Times New Roman" w:cs="Times New Roman"/>
        </w:rPr>
      </w:pPr>
      <w:r w:rsidRPr="002C438C">
        <w:rPr>
          <w:rFonts w:ascii="Times New Roman" w:hAnsi="Times New Roman" w:cs="Times New Roman"/>
        </w:rPr>
        <w:t xml:space="preserve">Human capital is measured using staff costs per employee (total staff costs / number of employees). This measure refines total staff costs by accounting for firm size, providing an indicator of the investment in each employee's knowledge, skills, and competencies. A </w:t>
      </w:r>
      <w:r w:rsidRPr="002C438C">
        <w:rPr>
          <w:rFonts w:ascii="Times New Roman" w:hAnsi="Times New Roman" w:cs="Times New Roman"/>
        </w:rPr>
        <w:lastRenderedPageBreak/>
        <w:t>higher value suggests more qualified or experienced human resources, which is central to the human-centric collaboration emphasized by Industry 5.0.</w:t>
      </w:r>
    </w:p>
    <w:p w14:paraId="0C46996B" w14:textId="77777777" w:rsidR="002C438C" w:rsidRPr="002C438C" w:rsidRDefault="002C438C" w:rsidP="002C438C">
      <w:pPr>
        <w:pStyle w:val="ListParagraph"/>
        <w:numPr>
          <w:ilvl w:val="0"/>
          <w:numId w:val="13"/>
        </w:numPr>
        <w:shd w:val="clear" w:color="auto" w:fill="FFFFFF"/>
        <w:autoSpaceDE w:val="0"/>
        <w:autoSpaceDN w:val="0"/>
        <w:spacing w:before="120" w:after="0" w:line="240" w:lineRule="auto"/>
        <w:jc w:val="both"/>
        <w:rPr>
          <w:rFonts w:ascii="Times New Roman" w:hAnsi="Times New Roman" w:cs="Times New Roman"/>
        </w:rPr>
      </w:pPr>
      <w:r w:rsidRPr="002C438C">
        <w:rPr>
          <w:rFonts w:ascii="Times New Roman" w:hAnsi="Times New Roman" w:cs="Times New Roman"/>
        </w:rPr>
        <w:t>Structural capital is evaluated based on the working capital turnover (Revenue / Net Working Capital). This ratio reflects the efficiency of a firm's operational processes and structure in generating sales. A higher turnover indicates leaner and more effective organizational routines and internal systems, key components of structural capital that enable a firm to deploy resources agilely.</w:t>
      </w:r>
    </w:p>
    <w:p w14:paraId="0B7846A3" w14:textId="77777777" w:rsidR="002C438C" w:rsidRPr="002C438C" w:rsidRDefault="002C438C" w:rsidP="002C438C">
      <w:pPr>
        <w:pStyle w:val="ListParagraph"/>
        <w:numPr>
          <w:ilvl w:val="0"/>
          <w:numId w:val="13"/>
        </w:numPr>
        <w:shd w:val="clear" w:color="auto" w:fill="FFFFFF"/>
        <w:autoSpaceDE w:val="0"/>
        <w:autoSpaceDN w:val="0"/>
        <w:spacing w:before="120" w:after="0" w:line="240" w:lineRule="auto"/>
        <w:jc w:val="both"/>
        <w:rPr>
          <w:rFonts w:ascii="Times New Roman" w:hAnsi="Times New Roman" w:cs="Times New Roman"/>
        </w:rPr>
      </w:pPr>
      <w:r w:rsidRPr="002C438C">
        <w:rPr>
          <w:rFonts w:ascii="Times New Roman" w:hAnsi="Times New Roman" w:cs="Times New Roman"/>
        </w:rPr>
        <w:t xml:space="preserve">Relational capital is measured using revenue growth. In a highly competitive and dynamic industry like hospitality, sustained revenue growth is difficult to achieve without strong relational capital. It reflects the cumulative result of customer loyalty, positive word-of-mouth, effective brand management, and the ability to retain and expand a client base, all hallmarks of robust relational capital (Martin-de-Castro et al., 2010). While it is acknowledged that revenue growth can be influenced by other factors (e.g., macroeconomic conditions, location), its use as a proxy is justified in this longitudinal study focusing on intra-industry comparison within the same national market, where such external factors are a constant across the sample. Furthermore, for knowledge-intensive service firms like the "best restaurants" in this study’s frame, which compete </w:t>
      </w:r>
      <w:proofErr w:type="gramStart"/>
      <w:r w:rsidRPr="002C438C">
        <w:rPr>
          <w:rFonts w:ascii="Times New Roman" w:hAnsi="Times New Roman" w:cs="Times New Roman"/>
        </w:rPr>
        <w:t>on</w:t>
      </w:r>
      <w:proofErr w:type="gramEnd"/>
      <w:r w:rsidRPr="002C438C">
        <w:rPr>
          <w:rFonts w:ascii="Times New Roman" w:hAnsi="Times New Roman" w:cs="Times New Roman"/>
        </w:rPr>
        <w:t xml:space="preserve"> experience and reputation, revenue growth is a particularly salient signal of successful customer relationship management.</w:t>
      </w:r>
    </w:p>
    <w:p w14:paraId="203A8780" w14:textId="77777777" w:rsidR="002C438C" w:rsidRPr="002C438C" w:rsidRDefault="002C438C" w:rsidP="006A0927">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rPr>
        <w:t xml:space="preserve">Furthermore, the analysis </w:t>
      </w:r>
      <w:proofErr w:type="gramStart"/>
      <w:r w:rsidRPr="002C438C">
        <w:rPr>
          <w:rFonts w:ascii="Times New Roman" w:hAnsi="Times New Roman" w:cs="Times New Roman"/>
        </w:rPr>
        <w:t>takes into account</w:t>
      </w:r>
      <w:proofErr w:type="gramEnd"/>
      <w:r w:rsidRPr="002C438C">
        <w:rPr>
          <w:rFonts w:ascii="Times New Roman" w:hAnsi="Times New Roman" w:cs="Times New Roman"/>
        </w:rPr>
        <w:t xml:space="preserve"> firm age, which is considered a strong influencer of IC performance (Forte et al., 2017; Lee &amp; Lin, 2019). Thus, following the European Union (2014) approach, the distinction is made among: young restaurants (with less than 5 years), developmental restaurants (with 5 to 10 years of experience), and mature restaurants (with more than 10 years). Sample distribution based on restaurants’ development stage is presented in Table 1.</w:t>
      </w:r>
    </w:p>
    <w:p w14:paraId="006CFA64" w14:textId="77777777" w:rsidR="002C438C" w:rsidRPr="006A0927" w:rsidRDefault="002C438C" w:rsidP="006A0927">
      <w:pPr>
        <w:shd w:val="clear" w:color="auto" w:fill="FFFFFF"/>
        <w:spacing w:before="120" w:after="0" w:line="240" w:lineRule="auto"/>
        <w:jc w:val="center"/>
        <w:rPr>
          <w:rFonts w:ascii="Times New Roman" w:hAnsi="Times New Roman" w:cs="Times New Roman"/>
          <w:i/>
          <w:iCs/>
        </w:rPr>
      </w:pPr>
      <w:r w:rsidRPr="006A0927">
        <w:rPr>
          <w:rFonts w:ascii="Times New Roman" w:hAnsi="Times New Roman" w:cs="Times New Roman"/>
          <w:i/>
          <w:iCs/>
        </w:rPr>
        <w:t>Table 1: Sample distribution based on restaurants’ level of maturity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087"/>
        <w:gridCol w:w="2625"/>
        <w:gridCol w:w="1559"/>
      </w:tblGrid>
      <w:tr w:rsidR="002C438C" w:rsidRPr="0029675A" w14:paraId="7D0B9FEE" w14:textId="77777777" w:rsidTr="0029675A">
        <w:trPr>
          <w:trHeight w:val="20"/>
          <w:jc w:val="center"/>
        </w:trPr>
        <w:tc>
          <w:tcPr>
            <w:tcW w:w="2087" w:type="dxa"/>
            <w:vAlign w:val="center"/>
          </w:tcPr>
          <w:p w14:paraId="6FCE8D57" w14:textId="77777777" w:rsidR="002C438C" w:rsidRPr="0029675A" w:rsidRDefault="002C438C" w:rsidP="0029675A">
            <w:pPr>
              <w:spacing w:after="0" w:line="240" w:lineRule="auto"/>
              <w:jc w:val="center"/>
              <w:rPr>
                <w:rFonts w:ascii="Times New Roman" w:hAnsi="Times New Roman" w:cs="Times New Roman"/>
                <w:b/>
                <w:sz w:val="20"/>
              </w:rPr>
            </w:pPr>
            <w:r w:rsidRPr="0029675A">
              <w:rPr>
                <w:rFonts w:ascii="Times New Roman" w:hAnsi="Times New Roman" w:cs="Times New Roman"/>
                <w:b/>
                <w:sz w:val="20"/>
              </w:rPr>
              <w:t>Type of restaurant</w:t>
            </w:r>
          </w:p>
        </w:tc>
        <w:tc>
          <w:tcPr>
            <w:tcW w:w="2625" w:type="dxa"/>
            <w:vAlign w:val="center"/>
          </w:tcPr>
          <w:p w14:paraId="62113997" w14:textId="77777777" w:rsidR="002C438C" w:rsidRPr="0029675A" w:rsidRDefault="002C438C" w:rsidP="0029675A">
            <w:pPr>
              <w:spacing w:after="0" w:line="240" w:lineRule="auto"/>
              <w:jc w:val="center"/>
              <w:rPr>
                <w:rFonts w:ascii="Times New Roman" w:hAnsi="Times New Roman" w:cs="Times New Roman"/>
                <w:b/>
                <w:sz w:val="20"/>
              </w:rPr>
            </w:pPr>
            <w:r w:rsidRPr="0029675A">
              <w:rPr>
                <w:rFonts w:ascii="Times New Roman" w:hAnsi="Times New Roman" w:cs="Times New Roman"/>
                <w:b/>
                <w:sz w:val="20"/>
              </w:rPr>
              <w:t>Number of analyzed units</w:t>
            </w:r>
          </w:p>
        </w:tc>
        <w:tc>
          <w:tcPr>
            <w:tcW w:w="1559" w:type="dxa"/>
            <w:vAlign w:val="center"/>
          </w:tcPr>
          <w:p w14:paraId="49DB4C51" w14:textId="77777777" w:rsidR="002C438C" w:rsidRPr="0029675A" w:rsidRDefault="002C438C" w:rsidP="0029675A">
            <w:pPr>
              <w:spacing w:after="0" w:line="240" w:lineRule="auto"/>
              <w:jc w:val="center"/>
              <w:rPr>
                <w:rFonts w:ascii="Times New Roman" w:hAnsi="Times New Roman" w:cs="Times New Roman"/>
                <w:b/>
                <w:sz w:val="20"/>
              </w:rPr>
            </w:pPr>
            <w:r w:rsidRPr="0029675A">
              <w:rPr>
                <w:rFonts w:ascii="Times New Roman" w:hAnsi="Times New Roman" w:cs="Times New Roman"/>
                <w:b/>
                <w:sz w:val="20"/>
              </w:rPr>
              <w:t>Percentage</w:t>
            </w:r>
          </w:p>
        </w:tc>
      </w:tr>
      <w:tr w:rsidR="002C438C" w:rsidRPr="0029675A" w14:paraId="482814F2" w14:textId="77777777" w:rsidTr="0029675A">
        <w:trPr>
          <w:trHeight w:val="20"/>
          <w:jc w:val="center"/>
        </w:trPr>
        <w:tc>
          <w:tcPr>
            <w:tcW w:w="2087" w:type="dxa"/>
            <w:vAlign w:val="center"/>
          </w:tcPr>
          <w:p w14:paraId="42036BDD"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Young</w:t>
            </w:r>
          </w:p>
        </w:tc>
        <w:tc>
          <w:tcPr>
            <w:tcW w:w="2625" w:type="dxa"/>
            <w:vAlign w:val="center"/>
          </w:tcPr>
          <w:p w14:paraId="184DE79C"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152</w:t>
            </w:r>
          </w:p>
        </w:tc>
        <w:tc>
          <w:tcPr>
            <w:tcW w:w="1559" w:type="dxa"/>
            <w:vAlign w:val="center"/>
          </w:tcPr>
          <w:p w14:paraId="7FBB1BD7"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41.53%</w:t>
            </w:r>
          </w:p>
        </w:tc>
      </w:tr>
      <w:tr w:rsidR="002C438C" w:rsidRPr="0029675A" w14:paraId="56F87CA1" w14:textId="77777777" w:rsidTr="0029675A">
        <w:trPr>
          <w:trHeight w:val="20"/>
          <w:jc w:val="center"/>
        </w:trPr>
        <w:tc>
          <w:tcPr>
            <w:tcW w:w="2087" w:type="dxa"/>
            <w:vAlign w:val="center"/>
          </w:tcPr>
          <w:p w14:paraId="44B85BE9"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Developmental</w:t>
            </w:r>
          </w:p>
        </w:tc>
        <w:tc>
          <w:tcPr>
            <w:tcW w:w="2625" w:type="dxa"/>
            <w:vAlign w:val="center"/>
          </w:tcPr>
          <w:p w14:paraId="6FAAC4DF"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90</w:t>
            </w:r>
          </w:p>
        </w:tc>
        <w:tc>
          <w:tcPr>
            <w:tcW w:w="1559" w:type="dxa"/>
            <w:vAlign w:val="center"/>
          </w:tcPr>
          <w:p w14:paraId="054F86F1"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24.59%</w:t>
            </w:r>
          </w:p>
        </w:tc>
      </w:tr>
      <w:tr w:rsidR="002C438C" w:rsidRPr="0029675A" w14:paraId="5494E89B" w14:textId="77777777" w:rsidTr="0029675A">
        <w:trPr>
          <w:trHeight w:val="20"/>
          <w:jc w:val="center"/>
        </w:trPr>
        <w:tc>
          <w:tcPr>
            <w:tcW w:w="2087" w:type="dxa"/>
            <w:vAlign w:val="center"/>
          </w:tcPr>
          <w:p w14:paraId="15D2055B"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Mature</w:t>
            </w:r>
          </w:p>
        </w:tc>
        <w:tc>
          <w:tcPr>
            <w:tcW w:w="2625" w:type="dxa"/>
            <w:vAlign w:val="center"/>
          </w:tcPr>
          <w:p w14:paraId="352437DF"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124</w:t>
            </w:r>
          </w:p>
        </w:tc>
        <w:tc>
          <w:tcPr>
            <w:tcW w:w="1559" w:type="dxa"/>
            <w:vAlign w:val="center"/>
          </w:tcPr>
          <w:p w14:paraId="49802840"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33.88%</w:t>
            </w:r>
          </w:p>
        </w:tc>
      </w:tr>
      <w:tr w:rsidR="002C438C" w:rsidRPr="0029675A" w14:paraId="4255B62B" w14:textId="77777777" w:rsidTr="0029675A">
        <w:trPr>
          <w:trHeight w:val="20"/>
          <w:jc w:val="center"/>
        </w:trPr>
        <w:tc>
          <w:tcPr>
            <w:tcW w:w="2087" w:type="dxa"/>
            <w:vAlign w:val="center"/>
          </w:tcPr>
          <w:p w14:paraId="6FAC557A"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Total</w:t>
            </w:r>
          </w:p>
        </w:tc>
        <w:tc>
          <w:tcPr>
            <w:tcW w:w="2625" w:type="dxa"/>
            <w:vAlign w:val="center"/>
          </w:tcPr>
          <w:p w14:paraId="41581AFD" w14:textId="77777777" w:rsidR="002C438C" w:rsidRPr="0029675A" w:rsidRDefault="002C438C" w:rsidP="0029675A">
            <w:pPr>
              <w:spacing w:after="0" w:line="240" w:lineRule="auto"/>
              <w:jc w:val="center"/>
              <w:rPr>
                <w:rFonts w:ascii="Times New Roman" w:hAnsi="Times New Roman" w:cs="Times New Roman"/>
                <w:sz w:val="20"/>
              </w:rPr>
            </w:pPr>
            <w:r w:rsidRPr="0029675A">
              <w:rPr>
                <w:rFonts w:ascii="Times New Roman" w:hAnsi="Times New Roman" w:cs="Times New Roman"/>
                <w:sz w:val="20"/>
              </w:rPr>
              <w:t>366</w:t>
            </w:r>
          </w:p>
        </w:tc>
        <w:tc>
          <w:tcPr>
            <w:tcW w:w="1559" w:type="dxa"/>
            <w:vAlign w:val="center"/>
          </w:tcPr>
          <w:p w14:paraId="6C102483" w14:textId="77777777" w:rsidR="002C438C" w:rsidRPr="0029675A" w:rsidRDefault="002C438C" w:rsidP="0029675A">
            <w:pPr>
              <w:spacing w:after="0" w:line="240" w:lineRule="auto"/>
              <w:jc w:val="center"/>
              <w:rPr>
                <w:rFonts w:ascii="Times New Roman" w:hAnsi="Times New Roman" w:cs="Times New Roman"/>
                <w:sz w:val="20"/>
              </w:rPr>
            </w:pPr>
          </w:p>
        </w:tc>
      </w:tr>
    </w:tbl>
    <w:p w14:paraId="6D3A5DC5"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rPr>
        <w:t xml:space="preserve">Data </w:t>
      </w:r>
      <w:proofErr w:type="gramStart"/>
      <w:r w:rsidRPr="002C438C">
        <w:rPr>
          <w:rFonts w:ascii="Times New Roman" w:hAnsi="Times New Roman" w:cs="Times New Roman"/>
        </w:rPr>
        <w:t>are</w:t>
      </w:r>
      <w:proofErr w:type="gramEnd"/>
      <w:r w:rsidRPr="002C438C">
        <w:rPr>
          <w:rFonts w:ascii="Times New Roman" w:hAnsi="Times New Roman" w:cs="Times New Roman"/>
        </w:rPr>
        <w:t xml:space="preserve"> processed using SPSS and the generalized estimation equation (GEE) model. This analytical technique is appropriate for </w:t>
      </w:r>
      <w:proofErr w:type="gramStart"/>
      <w:r w:rsidRPr="002C438C">
        <w:rPr>
          <w:rFonts w:ascii="Times New Roman" w:hAnsi="Times New Roman" w:cs="Times New Roman"/>
        </w:rPr>
        <w:t>the longitudinal</w:t>
      </w:r>
      <w:proofErr w:type="gramEnd"/>
      <w:r w:rsidRPr="002C438C">
        <w:rPr>
          <w:rFonts w:ascii="Times New Roman" w:hAnsi="Times New Roman" w:cs="Times New Roman"/>
        </w:rPr>
        <w:t xml:space="preserve"> analysis as it provides more efficient and unbiased regression estimates (Lu et al., 2020; Tsai et al., 2019). Within this framework, a binomial distribution with a logit link function is selected, as the dependent variable (restaurants' economic behavior) is a binary outcome (0 = Stability, 1 = Adaptation), and an exchangeable (compound symmetry) structure is specified. Th</w:t>
      </w:r>
      <w:r w:rsidRPr="002C438C">
        <w:rPr>
          <w:rFonts w:ascii="Times New Roman" w:hAnsi="Times New Roman" w:cs="Times New Roman"/>
          <w:sz w:val="24"/>
        </w:rPr>
        <w:t>is structure as</w:t>
      </w:r>
      <w:r w:rsidRPr="006A0927">
        <w:rPr>
          <w:rFonts w:ascii="Times New Roman" w:hAnsi="Times New Roman" w:cs="Times New Roman"/>
          <w:sz w:val="24"/>
        </w:rPr>
        <w:t xml:space="preserve">sumes the correlation between the two repeated observations (Industry 4.0 and the transition to Industry 5.0) for a given restaurant is constant; this is theoretically sound and computationally efficient for a short longitudinal design with only </w:t>
      </w:r>
      <w:proofErr w:type="gramStart"/>
      <w:r w:rsidRPr="006A0927">
        <w:rPr>
          <w:rFonts w:ascii="Times New Roman" w:hAnsi="Times New Roman" w:cs="Times New Roman"/>
          <w:sz w:val="24"/>
        </w:rPr>
        <w:t>two time</w:t>
      </w:r>
      <w:proofErr w:type="gramEnd"/>
      <w:r w:rsidRPr="006A0927">
        <w:rPr>
          <w:rFonts w:ascii="Times New Roman" w:hAnsi="Times New Roman" w:cs="Times New Roman"/>
          <w:sz w:val="24"/>
        </w:rPr>
        <w:t xml:space="preserve"> points. Furthermore, the analysis is clustered at the restaurant level, with each of the 366 restaurants contributing two observations. This clustering accounts for the non-independence of observations from the same establishment across time. </w:t>
      </w:r>
    </w:p>
    <w:p w14:paraId="732C39B6"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 xml:space="preserve">To isolate the net effect of IC dimensions, the model included several control variables known to influence strategic behavior, such as firm size and chain affiliation. The former </w:t>
      </w:r>
      <w:proofErr w:type="gramStart"/>
      <w:r w:rsidRPr="006A0927">
        <w:rPr>
          <w:rFonts w:ascii="Times New Roman" w:hAnsi="Times New Roman" w:cs="Times New Roman"/>
          <w:sz w:val="24"/>
        </w:rPr>
        <w:t>takes into account</w:t>
      </w:r>
      <w:proofErr w:type="gramEnd"/>
      <w:r w:rsidRPr="006A0927">
        <w:rPr>
          <w:rFonts w:ascii="Times New Roman" w:hAnsi="Times New Roman" w:cs="Times New Roman"/>
          <w:sz w:val="24"/>
        </w:rPr>
        <w:t xml:space="preserve"> that larger firms may have more resources to invest in adaptation, while the latter considers that chain-affiliated restaurants may have their strategic decisions heavily influenced by corporate headquarters rather than their own IC. This approach is applied to the overall sample and then separately to the sub-samples of young, developmental, and mature restaurants to test for differential effects based on firm maturity. </w:t>
      </w:r>
    </w:p>
    <w:p w14:paraId="02AEF1BC" w14:textId="77777777" w:rsidR="002C438C" w:rsidRPr="002C438C"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lastRenderedPageBreak/>
        <w:t xml:space="preserve">Furthermore, to verify the robustness of the GEE model, which provides population-averaged estimates (Hardin &amp; </w:t>
      </w:r>
      <w:proofErr w:type="spellStart"/>
      <w:r w:rsidRPr="006A0927">
        <w:rPr>
          <w:rFonts w:ascii="Times New Roman" w:hAnsi="Times New Roman" w:cs="Times New Roman"/>
          <w:sz w:val="24"/>
        </w:rPr>
        <w:t>Hilbe</w:t>
      </w:r>
      <w:proofErr w:type="spellEnd"/>
      <w:r w:rsidRPr="006A0927">
        <w:rPr>
          <w:rFonts w:ascii="Times New Roman" w:hAnsi="Times New Roman" w:cs="Times New Roman"/>
          <w:sz w:val="24"/>
        </w:rPr>
        <w:t>, 2013), a supple</w:t>
      </w:r>
      <w:r w:rsidRPr="002C438C">
        <w:rPr>
          <w:rFonts w:ascii="Times New Roman" w:hAnsi="Times New Roman" w:cs="Times New Roman"/>
          <w:sz w:val="24"/>
        </w:rPr>
        <w:t>mentary analysis is conducted using a panel random-effects logit model. While the GEE model accounts for within-cluster correlation to produce robust standard errors, the random-effects logit model adopts a different approach by explicitly modeling unobserved, time-invariant heterogeneity across restaurants through cluster-specific random intercepts (Wooldridge, 2010). This methodological triangulation follows best practices in empirical research for testing whether results are sensitive to modeling assumptions (Angrist &amp; Pischke, 2009). The consistency observed in the direction, statistical significance, and substantive magnitude of coefficients across both estimation techniques strengthens the credibility of the findings, indicating that the reported relationships are not an artifact of a specific modeling choice but represent robust patterns within the data.</w:t>
      </w:r>
    </w:p>
    <w:p w14:paraId="0C7C5B18" w14:textId="77777777" w:rsidR="002C438C" w:rsidRPr="002C438C" w:rsidRDefault="002C438C" w:rsidP="002C438C">
      <w:pPr>
        <w:pStyle w:val="ListParagraph"/>
        <w:numPr>
          <w:ilvl w:val="0"/>
          <w:numId w:val="1"/>
        </w:numPr>
        <w:spacing w:before="360" w:after="120" w:line="240" w:lineRule="auto"/>
        <w:ind w:left="357" w:hanging="357"/>
        <w:jc w:val="both"/>
        <w:rPr>
          <w:rFonts w:ascii="Times New Roman" w:hAnsi="Times New Roman" w:cs="Times New Roman"/>
          <w:b/>
          <w:sz w:val="28"/>
          <w:szCs w:val="28"/>
        </w:rPr>
      </w:pPr>
      <w:r w:rsidRPr="002C438C">
        <w:rPr>
          <w:rFonts w:ascii="Times New Roman" w:hAnsi="Times New Roman" w:cs="Times New Roman"/>
          <w:b/>
          <w:sz w:val="28"/>
          <w:szCs w:val="28"/>
        </w:rPr>
        <w:t>Results</w:t>
      </w:r>
    </w:p>
    <w:p w14:paraId="19BF5821"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The analysis first presents the overall influence of IC dimensions on restaurant behavior during the transition to Industry 5.0, before delving into the significant differences identified based on restaurant maturity.</w:t>
      </w:r>
    </w:p>
    <w:p w14:paraId="5CA49B21" w14:textId="2498D059" w:rsidR="002C438C" w:rsidRPr="002C438C" w:rsidRDefault="002C438C" w:rsidP="002C438C">
      <w:pPr>
        <w:shd w:val="clear" w:color="auto" w:fill="FFFFFF"/>
        <w:rPr>
          <w:rFonts w:ascii="Times New Roman" w:hAnsi="Times New Roman" w:cs="Times New Roman"/>
          <w:b/>
          <w:bCs/>
        </w:rPr>
      </w:pPr>
      <w:r w:rsidRPr="002C438C">
        <w:rPr>
          <w:rFonts w:ascii="Times New Roman" w:hAnsi="Times New Roman" w:cs="Times New Roman"/>
          <w:b/>
          <w:bCs/>
        </w:rPr>
        <w:t>4.1. Overall Influence of Intellectual Capital</w:t>
      </w:r>
    </w:p>
    <w:p w14:paraId="31E037F0"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rPr>
        <w:t>The transition to Industry 5.0 is significantly influenced by certain IC dimensions (Table 2), with human capital emerging as a primary driver of adaptive behavior. Hence, restaurants’ behavior during their transition to Industry 5.0 is strongly influenced by human capital (ß=0.001, p=0.000 &lt; 0.001). This indicat</w:t>
      </w:r>
      <w:r w:rsidRPr="002C438C">
        <w:rPr>
          <w:rFonts w:ascii="Times New Roman" w:hAnsi="Times New Roman" w:cs="Times New Roman"/>
          <w:sz w:val="24"/>
        </w:rPr>
        <w:t xml:space="preserve">es that for every </w:t>
      </w:r>
      <w:r w:rsidRPr="006A0927">
        <w:rPr>
          <w:rFonts w:ascii="Times New Roman" w:hAnsi="Times New Roman" w:cs="Times New Roman"/>
          <w:sz w:val="24"/>
        </w:rPr>
        <w:t xml:space="preserve">one-unit increase in human capital (staff costs per employee), the log-odds of adopting an adaptive strategy increase by 0.001. The corresponding odds ratio, Exp(B)=1.001, signifies that for every additional unit invested in staff costs per employee, the odds of </w:t>
      </w:r>
      <w:proofErr w:type="gramStart"/>
      <w:r w:rsidRPr="006A0927">
        <w:rPr>
          <w:rFonts w:ascii="Times New Roman" w:hAnsi="Times New Roman" w:cs="Times New Roman"/>
          <w:sz w:val="24"/>
        </w:rPr>
        <w:t>adaption</w:t>
      </w:r>
      <w:proofErr w:type="gramEnd"/>
      <w:r w:rsidRPr="006A0927">
        <w:rPr>
          <w:rFonts w:ascii="Times New Roman" w:hAnsi="Times New Roman" w:cs="Times New Roman"/>
          <w:sz w:val="24"/>
        </w:rPr>
        <w:t xml:space="preserve"> to Industry 5.0 increase by 0.1%. While this effect is statistically significant, its practical magnitude is very small, suggesting that human capital acts as a significant but weak predictor at the overall sample level. </w:t>
      </w:r>
    </w:p>
    <w:p w14:paraId="01CEC669"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6A0927">
        <w:rPr>
          <w:rFonts w:ascii="Times New Roman" w:hAnsi="Times New Roman" w:cs="Times New Roman"/>
          <w:sz w:val="24"/>
        </w:rPr>
        <w:t>In contrast, neither relational capital (ß=-0.001, p=0.423) nor structural capital (ß=-0.007, p=0.256) showed a significant overall effect.</w:t>
      </w:r>
    </w:p>
    <w:p w14:paraId="749E63E9" w14:textId="77777777" w:rsidR="002C438C" w:rsidRPr="002C438C" w:rsidRDefault="002C438C" w:rsidP="006A0927">
      <w:pPr>
        <w:shd w:val="clear" w:color="auto" w:fill="FFFFFF"/>
        <w:spacing w:before="120" w:after="120" w:line="240" w:lineRule="auto"/>
        <w:jc w:val="both"/>
        <w:rPr>
          <w:rFonts w:ascii="Times New Roman" w:hAnsi="Times New Roman" w:cs="Times New Roman"/>
        </w:rPr>
      </w:pPr>
      <w:r w:rsidRPr="006A0927">
        <w:rPr>
          <w:rFonts w:ascii="Times New Roman" w:hAnsi="Times New Roman" w:cs="Times New Roman"/>
          <w:sz w:val="24"/>
        </w:rPr>
        <w:t>The model includes a categorical "Ind</w:t>
      </w:r>
      <w:r w:rsidRPr="002C438C">
        <w:rPr>
          <w:rFonts w:ascii="Times New Roman" w:hAnsi="Times New Roman" w:cs="Times New Roman"/>
          <w:sz w:val="24"/>
        </w:rPr>
        <w:t xml:space="preserve">ustry level" variable with two levels: "Industry 4.0" and "Transition to Industry 5.0". In </w:t>
      </w:r>
      <w:r w:rsidRPr="002C438C">
        <w:rPr>
          <w:rFonts w:ascii="Times New Roman" w:hAnsi="Times New Roman" w:cs="Times New Roman"/>
        </w:rPr>
        <w:t>the GEE output, one level is set as the reference category (redundant, with parameters set to zero), and the other is estimated. Table 2 shows the parameter for "Industry 4.0" is estimated (B=1.130), meaning "Transition to Industry 5.0" is the reference category.</w:t>
      </w:r>
    </w:p>
    <w:p w14:paraId="7B6BE392" w14:textId="77777777" w:rsidR="002C438C" w:rsidRPr="002C438C" w:rsidRDefault="002C438C" w:rsidP="002C438C">
      <w:pPr>
        <w:spacing w:before="120" w:after="0" w:line="240" w:lineRule="auto"/>
        <w:jc w:val="center"/>
        <w:rPr>
          <w:rFonts w:ascii="Times New Roman" w:hAnsi="Times New Roman" w:cs="Times New Roman"/>
          <w:i/>
          <w:iCs/>
        </w:rPr>
      </w:pPr>
      <w:r w:rsidRPr="002C438C">
        <w:rPr>
          <w:rFonts w:ascii="Times New Roman" w:hAnsi="Times New Roman" w:cs="Times New Roman"/>
          <w:i/>
          <w:iCs/>
        </w:rPr>
        <w:t>Table 2: GEE analysis of the relationships between IC dimensions and restaurants’ behavior during their transition to Industry 5.0</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2" w:type="dxa"/>
          <w:left w:w="72" w:type="dxa"/>
          <w:bottom w:w="72" w:type="dxa"/>
          <w:right w:w="72" w:type="dxa"/>
        </w:tblCellMar>
        <w:tblLook w:val="0000" w:firstRow="0" w:lastRow="0" w:firstColumn="0" w:lastColumn="0" w:noHBand="0" w:noVBand="0"/>
      </w:tblPr>
      <w:tblGrid>
        <w:gridCol w:w="3259"/>
        <w:gridCol w:w="707"/>
        <w:gridCol w:w="570"/>
        <w:gridCol w:w="845"/>
        <w:gridCol w:w="563"/>
        <w:gridCol w:w="563"/>
        <w:gridCol w:w="704"/>
        <w:gridCol w:w="984"/>
        <w:gridCol w:w="850"/>
      </w:tblGrid>
      <w:tr w:rsidR="002C438C" w:rsidRPr="002C438C" w14:paraId="369FB961" w14:textId="77777777" w:rsidTr="0029675A">
        <w:trPr>
          <w:cantSplit/>
          <w:trHeight w:val="20"/>
          <w:tblHeader/>
          <w:jc w:val="center"/>
        </w:trPr>
        <w:tc>
          <w:tcPr>
            <w:tcW w:w="1802" w:type="pct"/>
            <w:vMerge w:val="restart"/>
            <w:shd w:val="clear" w:color="auto" w:fill="FFFFFF"/>
            <w:vAlign w:val="center"/>
          </w:tcPr>
          <w:p w14:paraId="7506479B"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Parameter</w:t>
            </w:r>
          </w:p>
        </w:tc>
        <w:tc>
          <w:tcPr>
            <w:tcW w:w="391" w:type="pct"/>
            <w:vMerge w:val="restart"/>
            <w:shd w:val="clear" w:color="auto" w:fill="FFFFFF"/>
            <w:vAlign w:val="center"/>
          </w:tcPr>
          <w:p w14:paraId="0CF5F0FC"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B</w:t>
            </w:r>
          </w:p>
        </w:tc>
        <w:tc>
          <w:tcPr>
            <w:tcW w:w="315" w:type="pct"/>
            <w:vMerge w:val="restart"/>
            <w:shd w:val="clear" w:color="auto" w:fill="FFFFFF"/>
            <w:vAlign w:val="center"/>
          </w:tcPr>
          <w:p w14:paraId="522AA7C5"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SE</w:t>
            </w:r>
          </w:p>
        </w:tc>
        <w:tc>
          <w:tcPr>
            <w:tcW w:w="467" w:type="pct"/>
            <w:vMerge w:val="restart"/>
            <w:shd w:val="clear" w:color="auto" w:fill="FFFFFF"/>
            <w:vAlign w:val="center"/>
          </w:tcPr>
          <w:p w14:paraId="4973218F"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Wald Chi-Square</w:t>
            </w:r>
          </w:p>
        </w:tc>
        <w:tc>
          <w:tcPr>
            <w:tcW w:w="311" w:type="pct"/>
            <w:vMerge w:val="restart"/>
            <w:shd w:val="clear" w:color="auto" w:fill="FFFFFF"/>
            <w:vAlign w:val="center"/>
          </w:tcPr>
          <w:p w14:paraId="60DB417D"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roofErr w:type="spellStart"/>
            <w:r w:rsidRPr="002C438C">
              <w:rPr>
                <w:rFonts w:ascii="Times New Roman" w:hAnsi="Times New Roman" w:cs="Times New Roman"/>
                <w:b/>
                <w:color w:val="000000"/>
                <w:sz w:val="20"/>
              </w:rPr>
              <w:t>df</w:t>
            </w:r>
            <w:proofErr w:type="spellEnd"/>
          </w:p>
        </w:tc>
        <w:tc>
          <w:tcPr>
            <w:tcW w:w="311" w:type="pct"/>
            <w:vMerge w:val="restart"/>
            <w:shd w:val="clear" w:color="auto" w:fill="FFFFFF"/>
            <w:vAlign w:val="center"/>
          </w:tcPr>
          <w:p w14:paraId="566C50BE"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Sig.</w:t>
            </w:r>
          </w:p>
        </w:tc>
        <w:tc>
          <w:tcPr>
            <w:tcW w:w="389" w:type="pct"/>
            <w:vMerge w:val="restart"/>
            <w:shd w:val="clear" w:color="auto" w:fill="FFFFFF"/>
            <w:vAlign w:val="center"/>
          </w:tcPr>
          <w:p w14:paraId="14627E4A"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Exp (B)</w:t>
            </w:r>
          </w:p>
        </w:tc>
        <w:tc>
          <w:tcPr>
            <w:tcW w:w="1015" w:type="pct"/>
            <w:gridSpan w:val="2"/>
            <w:shd w:val="clear" w:color="auto" w:fill="FFFFFF"/>
            <w:vAlign w:val="center"/>
          </w:tcPr>
          <w:p w14:paraId="21939AA0"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95% Confidence Interval for Exp(B)</w:t>
            </w:r>
          </w:p>
        </w:tc>
      </w:tr>
      <w:tr w:rsidR="002C438C" w:rsidRPr="002C438C" w14:paraId="4F0D68FC" w14:textId="77777777" w:rsidTr="0029675A">
        <w:trPr>
          <w:cantSplit/>
          <w:trHeight w:val="20"/>
          <w:tblHeader/>
          <w:jc w:val="center"/>
        </w:trPr>
        <w:tc>
          <w:tcPr>
            <w:tcW w:w="1802" w:type="pct"/>
            <w:vMerge/>
            <w:shd w:val="clear" w:color="auto" w:fill="FFFFFF"/>
            <w:vAlign w:val="center"/>
          </w:tcPr>
          <w:p w14:paraId="28977C21"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91" w:type="pct"/>
            <w:vMerge/>
            <w:shd w:val="clear" w:color="auto" w:fill="FFFFFF"/>
            <w:vAlign w:val="center"/>
          </w:tcPr>
          <w:p w14:paraId="5681D92D"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15" w:type="pct"/>
            <w:vMerge/>
            <w:shd w:val="clear" w:color="auto" w:fill="FFFFFF"/>
            <w:vAlign w:val="center"/>
          </w:tcPr>
          <w:p w14:paraId="4E756F5C"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467" w:type="pct"/>
            <w:vMerge/>
            <w:shd w:val="clear" w:color="auto" w:fill="FFFFFF"/>
            <w:vAlign w:val="center"/>
          </w:tcPr>
          <w:p w14:paraId="0A3DF85D"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11" w:type="pct"/>
            <w:vMerge/>
            <w:shd w:val="clear" w:color="auto" w:fill="FFFFFF"/>
            <w:vAlign w:val="center"/>
          </w:tcPr>
          <w:p w14:paraId="066DB665"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11" w:type="pct"/>
            <w:vMerge/>
            <w:shd w:val="clear" w:color="auto" w:fill="FFFFFF"/>
            <w:vAlign w:val="center"/>
          </w:tcPr>
          <w:p w14:paraId="39FAF36B"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89" w:type="pct"/>
            <w:vMerge/>
            <w:shd w:val="clear" w:color="auto" w:fill="FFFFFF"/>
            <w:vAlign w:val="center"/>
          </w:tcPr>
          <w:p w14:paraId="6B592895"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544" w:type="pct"/>
            <w:shd w:val="clear" w:color="auto" w:fill="FFFFFF"/>
            <w:vAlign w:val="center"/>
          </w:tcPr>
          <w:p w14:paraId="5676DEBA" w14:textId="77777777" w:rsidR="002C438C" w:rsidRPr="0029675A" w:rsidRDefault="002C438C" w:rsidP="002C438C">
            <w:pPr>
              <w:adjustRightInd w:val="0"/>
              <w:snapToGrid w:val="0"/>
              <w:spacing w:after="0" w:line="240" w:lineRule="auto"/>
              <w:jc w:val="center"/>
              <w:rPr>
                <w:rFonts w:ascii="Times New Roman" w:hAnsi="Times New Roman" w:cs="Times New Roman"/>
                <w:b/>
                <w:i/>
                <w:iCs/>
                <w:color w:val="000000"/>
                <w:sz w:val="20"/>
              </w:rPr>
            </w:pPr>
            <w:r w:rsidRPr="0029675A">
              <w:rPr>
                <w:rFonts w:ascii="Times New Roman" w:hAnsi="Times New Roman" w:cs="Times New Roman"/>
                <w:b/>
                <w:i/>
                <w:iCs/>
                <w:color w:val="000000"/>
                <w:sz w:val="20"/>
              </w:rPr>
              <w:t>Lower</w:t>
            </w:r>
          </w:p>
        </w:tc>
        <w:tc>
          <w:tcPr>
            <w:tcW w:w="471" w:type="pct"/>
            <w:shd w:val="clear" w:color="auto" w:fill="FFFFFF"/>
            <w:vAlign w:val="center"/>
          </w:tcPr>
          <w:p w14:paraId="294B767D" w14:textId="77777777" w:rsidR="002C438C" w:rsidRPr="0029675A" w:rsidRDefault="002C438C" w:rsidP="002C438C">
            <w:pPr>
              <w:adjustRightInd w:val="0"/>
              <w:snapToGrid w:val="0"/>
              <w:spacing w:after="0" w:line="240" w:lineRule="auto"/>
              <w:jc w:val="center"/>
              <w:rPr>
                <w:rFonts w:ascii="Times New Roman" w:hAnsi="Times New Roman" w:cs="Times New Roman"/>
                <w:b/>
                <w:i/>
                <w:iCs/>
                <w:color w:val="000000"/>
                <w:sz w:val="20"/>
              </w:rPr>
            </w:pPr>
            <w:r w:rsidRPr="0029675A">
              <w:rPr>
                <w:rFonts w:ascii="Times New Roman" w:hAnsi="Times New Roman" w:cs="Times New Roman"/>
                <w:b/>
                <w:i/>
                <w:iCs/>
                <w:color w:val="000000"/>
                <w:sz w:val="20"/>
              </w:rPr>
              <w:t>Upper</w:t>
            </w:r>
          </w:p>
        </w:tc>
      </w:tr>
      <w:tr w:rsidR="002C438C" w:rsidRPr="002C438C" w14:paraId="4112AE3F" w14:textId="77777777" w:rsidTr="002C438C">
        <w:trPr>
          <w:cantSplit/>
          <w:trHeight w:val="20"/>
          <w:jc w:val="center"/>
        </w:trPr>
        <w:tc>
          <w:tcPr>
            <w:tcW w:w="1802" w:type="pct"/>
            <w:shd w:val="clear" w:color="auto" w:fill="FFFFFF"/>
            <w:vAlign w:val="center"/>
          </w:tcPr>
          <w:p w14:paraId="508161A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(Intercept)</w:t>
            </w:r>
          </w:p>
        </w:tc>
        <w:tc>
          <w:tcPr>
            <w:tcW w:w="391" w:type="pct"/>
            <w:shd w:val="clear" w:color="auto" w:fill="FFFFFF"/>
            <w:vAlign w:val="center"/>
          </w:tcPr>
          <w:p w14:paraId="0E8B9F1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-1.334</w:t>
            </w:r>
          </w:p>
        </w:tc>
        <w:tc>
          <w:tcPr>
            <w:tcW w:w="315" w:type="pct"/>
            <w:shd w:val="clear" w:color="auto" w:fill="FFFFFF"/>
            <w:vAlign w:val="center"/>
          </w:tcPr>
          <w:p w14:paraId="1D63901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.180</w:t>
            </w:r>
          </w:p>
        </w:tc>
        <w:tc>
          <w:tcPr>
            <w:tcW w:w="467" w:type="pct"/>
            <w:shd w:val="clear" w:color="auto" w:fill="FFFFFF"/>
            <w:vAlign w:val="center"/>
          </w:tcPr>
          <w:p w14:paraId="0F9AE46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54.856</w:t>
            </w:r>
          </w:p>
        </w:tc>
        <w:tc>
          <w:tcPr>
            <w:tcW w:w="311" w:type="pct"/>
            <w:shd w:val="clear" w:color="auto" w:fill="FFFFFF"/>
            <w:vAlign w:val="center"/>
          </w:tcPr>
          <w:p w14:paraId="4438D91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11" w:type="pct"/>
            <w:shd w:val="clear" w:color="auto" w:fill="FFFFFF"/>
            <w:vAlign w:val="center"/>
          </w:tcPr>
          <w:p w14:paraId="53EC745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3137D73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.263</w:t>
            </w:r>
          </w:p>
        </w:tc>
        <w:tc>
          <w:tcPr>
            <w:tcW w:w="544" w:type="pct"/>
            <w:shd w:val="clear" w:color="auto" w:fill="FFFFFF"/>
            <w:vAlign w:val="center"/>
          </w:tcPr>
          <w:p w14:paraId="4647455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.185</w:t>
            </w:r>
          </w:p>
        </w:tc>
        <w:tc>
          <w:tcPr>
            <w:tcW w:w="471" w:type="pct"/>
            <w:shd w:val="clear" w:color="auto" w:fill="FFFFFF"/>
            <w:vAlign w:val="center"/>
          </w:tcPr>
          <w:p w14:paraId="373D2DC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.375</w:t>
            </w:r>
          </w:p>
        </w:tc>
      </w:tr>
      <w:tr w:rsidR="002C438C" w:rsidRPr="002C438C" w14:paraId="756BF694" w14:textId="77777777" w:rsidTr="002C438C">
        <w:trPr>
          <w:cantSplit/>
          <w:trHeight w:val="20"/>
          <w:jc w:val="center"/>
        </w:trPr>
        <w:tc>
          <w:tcPr>
            <w:tcW w:w="1802" w:type="pct"/>
            <w:shd w:val="clear" w:color="auto" w:fill="FFFFFF"/>
            <w:vAlign w:val="center"/>
          </w:tcPr>
          <w:p w14:paraId="04B3772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w:t>
            </w:r>
          </w:p>
        </w:tc>
        <w:tc>
          <w:tcPr>
            <w:tcW w:w="391" w:type="pct"/>
            <w:shd w:val="clear" w:color="auto" w:fill="FFFFFF"/>
            <w:vAlign w:val="center"/>
          </w:tcPr>
          <w:p w14:paraId="73EE41C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1.130</w:t>
            </w:r>
          </w:p>
        </w:tc>
        <w:tc>
          <w:tcPr>
            <w:tcW w:w="315" w:type="pct"/>
            <w:shd w:val="clear" w:color="auto" w:fill="FFFFFF"/>
            <w:vAlign w:val="center"/>
          </w:tcPr>
          <w:p w14:paraId="165EFEE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.156</w:t>
            </w:r>
          </w:p>
        </w:tc>
        <w:tc>
          <w:tcPr>
            <w:tcW w:w="467" w:type="pct"/>
            <w:shd w:val="clear" w:color="auto" w:fill="FFFFFF"/>
            <w:vAlign w:val="center"/>
          </w:tcPr>
          <w:p w14:paraId="5565F55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51.983</w:t>
            </w:r>
          </w:p>
        </w:tc>
        <w:tc>
          <w:tcPr>
            <w:tcW w:w="311" w:type="pct"/>
            <w:shd w:val="clear" w:color="auto" w:fill="FFFFFF"/>
            <w:vAlign w:val="center"/>
          </w:tcPr>
          <w:p w14:paraId="43826D3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11" w:type="pct"/>
            <w:shd w:val="clear" w:color="auto" w:fill="FFFFFF"/>
            <w:vAlign w:val="center"/>
          </w:tcPr>
          <w:p w14:paraId="7DA3AF1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0B7FF6D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3.097</w:t>
            </w:r>
          </w:p>
        </w:tc>
        <w:tc>
          <w:tcPr>
            <w:tcW w:w="544" w:type="pct"/>
            <w:shd w:val="clear" w:color="auto" w:fill="FFFFFF"/>
            <w:vAlign w:val="center"/>
          </w:tcPr>
          <w:p w14:paraId="472D840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2.277</w:t>
            </w:r>
          </w:p>
        </w:tc>
        <w:tc>
          <w:tcPr>
            <w:tcW w:w="471" w:type="pct"/>
            <w:shd w:val="clear" w:color="auto" w:fill="FFFFFF"/>
            <w:vAlign w:val="center"/>
          </w:tcPr>
          <w:p w14:paraId="382EC5E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4.211</w:t>
            </w:r>
          </w:p>
        </w:tc>
      </w:tr>
      <w:tr w:rsidR="002C438C" w:rsidRPr="002C438C" w14:paraId="4F11D4CE" w14:textId="77777777" w:rsidTr="002C438C">
        <w:trPr>
          <w:cantSplit/>
          <w:trHeight w:val="20"/>
          <w:jc w:val="center"/>
        </w:trPr>
        <w:tc>
          <w:tcPr>
            <w:tcW w:w="1802" w:type="pct"/>
            <w:shd w:val="clear" w:color="auto" w:fill="FFFFFF"/>
            <w:vAlign w:val="center"/>
          </w:tcPr>
          <w:p w14:paraId="49DF71A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w:t>
            </w:r>
          </w:p>
        </w:tc>
        <w:tc>
          <w:tcPr>
            <w:tcW w:w="391" w:type="pct"/>
            <w:shd w:val="clear" w:color="auto" w:fill="FFFFFF"/>
            <w:vAlign w:val="center"/>
          </w:tcPr>
          <w:p w14:paraId="1C18882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15" w:type="pct"/>
            <w:shd w:val="clear" w:color="auto" w:fill="FFFFFF"/>
            <w:vAlign w:val="center"/>
          </w:tcPr>
          <w:p w14:paraId="742C5AF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7" w:type="pct"/>
            <w:shd w:val="clear" w:color="auto" w:fill="FFFFFF"/>
            <w:vAlign w:val="center"/>
          </w:tcPr>
          <w:p w14:paraId="64AAC04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11" w:type="pct"/>
            <w:shd w:val="clear" w:color="auto" w:fill="FFFFFF"/>
            <w:vAlign w:val="center"/>
          </w:tcPr>
          <w:p w14:paraId="059F11B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11" w:type="pct"/>
            <w:shd w:val="clear" w:color="auto" w:fill="FFFFFF"/>
            <w:vAlign w:val="center"/>
          </w:tcPr>
          <w:p w14:paraId="4277CD4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090C272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44" w:type="pct"/>
            <w:shd w:val="clear" w:color="auto" w:fill="FFFFFF"/>
            <w:vAlign w:val="center"/>
          </w:tcPr>
          <w:p w14:paraId="324668F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71" w:type="pct"/>
            <w:shd w:val="clear" w:color="auto" w:fill="FFFFFF"/>
            <w:vAlign w:val="center"/>
          </w:tcPr>
          <w:p w14:paraId="5234CFB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15ADC1D1" w14:textId="77777777" w:rsidTr="002C438C">
        <w:trPr>
          <w:cantSplit/>
          <w:trHeight w:val="20"/>
          <w:jc w:val="center"/>
        </w:trPr>
        <w:tc>
          <w:tcPr>
            <w:tcW w:w="1802" w:type="pct"/>
            <w:shd w:val="clear" w:color="auto" w:fill="FFFFFF"/>
            <w:vAlign w:val="center"/>
          </w:tcPr>
          <w:p w14:paraId="7A1DD28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Human Capital</w:t>
            </w:r>
          </w:p>
        </w:tc>
        <w:tc>
          <w:tcPr>
            <w:tcW w:w="391" w:type="pct"/>
            <w:shd w:val="clear" w:color="auto" w:fill="FFFFFF"/>
            <w:vAlign w:val="center"/>
          </w:tcPr>
          <w:p w14:paraId="652364C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15" w:type="pct"/>
            <w:shd w:val="clear" w:color="auto" w:fill="FFFFFF"/>
            <w:vAlign w:val="center"/>
          </w:tcPr>
          <w:p w14:paraId="19DD31E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7" w:type="pct"/>
            <w:shd w:val="clear" w:color="auto" w:fill="FFFFFF"/>
            <w:vAlign w:val="center"/>
          </w:tcPr>
          <w:p w14:paraId="55D14DE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17.287</w:t>
            </w:r>
          </w:p>
        </w:tc>
        <w:tc>
          <w:tcPr>
            <w:tcW w:w="311" w:type="pct"/>
            <w:shd w:val="clear" w:color="auto" w:fill="FFFFFF"/>
            <w:vAlign w:val="center"/>
          </w:tcPr>
          <w:p w14:paraId="59A76E7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11" w:type="pct"/>
            <w:shd w:val="clear" w:color="auto" w:fill="FFFFFF"/>
            <w:vAlign w:val="center"/>
          </w:tcPr>
          <w:p w14:paraId="07459E4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14D4E0F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c>
          <w:tcPr>
            <w:tcW w:w="544" w:type="pct"/>
            <w:shd w:val="clear" w:color="auto" w:fill="FFFFFF"/>
            <w:vAlign w:val="center"/>
          </w:tcPr>
          <w:p w14:paraId="45C7CDF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c>
          <w:tcPr>
            <w:tcW w:w="471" w:type="pct"/>
            <w:shd w:val="clear" w:color="auto" w:fill="FFFFFF"/>
            <w:vAlign w:val="center"/>
          </w:tcPr>
          <w:p w14:paraId="1D35028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1.002</w:t>
            </w:r>
          </w:p>
        </w:tc>
      </w:tr>
      <w:tr w:rsidR="002C438C" w:rsidRPr="002C438C" w14:paraId="32A1267A" w14:textId="77777777" w:rsidTr="002C438C">
        <w:trPr>
          <w:cantSplit/>
          <w:trHeight w:val="20"/>
          <w:jc w:val="center"/>
        </w:trPr>
        <w:tc>
          <w:tcPr>
            <w:tcW w:w="1802" w:type="pct"/>
            <w:shd w:val="clear" w:color="auto" w:fill="FFFFFF"/>
            <w:vAlign w:val="center"/>
          </w:tcPr>
          <w:p w14:paraId="45F1362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Relational Capital</w:t>
            </w:r>
          </w:p>
        </w:tc>
        <w:tc>
          <w:tcPr>
            <w:tcW w:w="391" w:type="pct"/>
            <w:shd w:val="clear" w:color="auto" w:fill="FFFFFF"/>
            <w:vAlign w:val="center"/>
          </w:tcPr>
          <w:p w14:paraId="51B878F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15" w:type="pct"/>
            <w:shd w:val="clear" w:color="auto" w:fill="FFFFFF"/>
            <w:vAlign w:val="center"/>
          </w:tcPr>
          <w:p w14:paraId="2D04CDE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467" w:type="pct"/>
            <w:shd w:val="clear" w:color="auto" w:fill="FFFFFF"/>
            <w:vAlign w:val="center"/>
          </w:tcPr>
          <w:p w14:paraId="2C5B152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.642</w:t>
            </w:r>
          </w:p>
        </w:tc>
        <w:tc>
          <w:tcPr>
            <w:tcW w:w="311" w:type="pct"/>
            <w:shd w:val="clear" w:color="auto" w:fill="FFFFFF"/>
            <w:vAlign w:val="center"/>
          </w:tcPr>
          <w:p w14:paraId="3D46EF3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11" w:type="pct"/>
            <w:shd w:val="clear" w:color="auto" w:fill="FFFFFF"/>
            <w:vAlign w:val="center"/>
          </w:tcPr>
          <w:p w14:paraId="655371A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.423</w:t>
            </w:r>
          </w:p>
        </w:tc>
        <w:tc>
          <w:tcPr>
            <w:tcW w:w="389" w:type="pct"/>
            <w:shd w:val="clear" w:color="auto" w:fill="FFFFFF"/>
            <w:vAlign w:val="center"/>
          </w:tcPr>
          <w:p w14:paraId="4D3C3D1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.999</w:t>
            </w:r>
          </w:p>
        </w:tc>
        <w:tc>
          <w:tcPr>
            <w:tcW w:w="544" w:type="pct"/>
            <w:shd w:val="clear" w:color="auto" w:fill="FFFFFF"/>
            <w:vAlign w:val="center"/>
          </w:tcPr>
          <w:p w14:paraId="1B001C8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.997</w:t>
            </w:r>
          </w:p>
        </w:tc>
        <w:tc>
          <w:tcPr>
            <w:tcW w:w="471" w:type="pct"/>
            <w:shd w:val="clear" w:color="auto" w:fill="FFFFFF"/>
            <w:vAlign w:val="center"/>
          </w:tcPr>
          <w:p w14:paraId="6E5449D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r>
      <w:tr w:rsidR="002C438C" w:rsidRPr="002C438C" w14:paraId="26A815AD" w14:textId="77777777" w:rsidTr="002C438C">
        <w:trPr>
          <w:cantSplit/>
          <w:trHeight w:val="20"/>
          <w:jc w:val="center"/>
        </w:trPr>
        <w:tc>
          <w:tcPr>
            <w:tcW w:w="1802" w:type="pct"/>
            <w:shd w:val="clear" w:color="auto" w:fill="FFFFFF"/>
            <w:vAlign w:val="center"/>
          </w:tcPr>
          <w:p w14:paraId="6B4DF5D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Structural Capital</w:t>
            </w:r>
          </w:p>
        </w:tc>
        <w:tc>
          <w:tcPr>
            <w:tcW w:w="391" w:type="pct"/>
            <w:shd w:val="clear" w:color="auto" w:fill="FFFFFF"/>
            <w:vAlign w:val="center"/>
          </w:tcPr>
          <w:p w14:paraId="28DD9CB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-.007</w:t>
            </w:r>
          </w:p>
        </w:tc>
        <w:tc>
          <w:tcPr>
            <w:tcW w:w="315" w:type="pct"/>
            <w:shd w:val="clear" w:color="auto" w:fill="FFFFFF"/>
            <w:vAlign w:val="center"/>
          </w:tcPr>
          <w:p w14:paraId="58D2D1E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.006</w:t>
            </w:r>
          </w:p>
        </w:tc>
        <w:tc>
          <w:tcPr>
            <w:tcW w:w="467" w:type="pct"/>
            <w:shd w:val="clear" w:color="auto" w:fill="FFFFFF"/>
            <w:vAlign w:val="center"/>
          </w:tcPr>
          <w:p w14:paraId="2ACB838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1.289</w:t>
            </w:r>
          </w:p>
        </w:tc>
        <w:tc>
          <w:tcPr>
            <w:tcW w:w="311" w:type="pct"/>
            <w:shd w:val="clear" w:color="auto" w:fill="FFFFFF"/>
            <w:vAlign w:val="center"/>
          </w:tcPr>
          <w:p w14:paraId="5C82A2F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11" w:type="pct"/>
            <w:shd w:val="clear" w:color="auto" w:fill="FFFFFF"/>
            <w:vAlign w:val="center"/>
          </w:tcPr>
          <w:p w14:paraId="1AB3E44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.256</w:t>
            </w:r>
          </w:p>
        </w:tc>
        <w:tc>
          <w:tcPr>
            <w:tcW w:w="389" w:type="pct"/>
            <w:shd w:val="clear" w:color="auto" w:fill="FFFFFF"/>
            <w:vAlign w:val="center"/>
          </w:tcPr>
          <w:p w14:paraId="024886B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.993</w:t>
            </w:r>
          </w:p>
        </w:tc>
        <w:tc>
          <w:tcPr>
            <w:tcW w:w="544" w:type="pct"/>
            <w:shd w:val="clear" w:color="auto" w:fill="FFFFFF"/>
            <w:vAlign w:val="center"/>
          </w:tcPr>
          <w:p w14:paraId="336563B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.981</w:t>
            </w:r>
          </w:p>
        </w:tc>
        <w:tc>
          <w:tcPr>
            <w:tcW w:w="471" w:type="pct"/>
            <w:shd w:val="clear" w:color="auto" w:fill="FFFFFF"/>
            <w:vAlign w:val="center"/>
          </w:tcPr>
          <w:p w14:paraId="53B01F2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1.005</w:t>
            </w:r>
          </w:p>
        </w:tc>
      </w:tr>
      <w:tr w:rsidR="002C438C" w:rsidRPr="002C438C" w14:paraId="1821883E" w14:textId="77777777" w:rsidTr="002C438C">
        <w:trPr>
          <w:cantSplit/>
          <w:trHeight w:val="20"/>
          <w:jc w:val="center"/>
        </w:trPr>
        <w:tc>
          <w:tcPr>
            <w:tcW w:w="1802" w:type="pct"/>
            <w:shd w:val="clear" w:color="auto" w:fill="FFFFFF"/>
            <w:vAlign w:val="center"/>
          </w:tcPr>
          <w:p w14:paraId="1954670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Human Capital</w:t>
            </w:r>
          </w:p>
        </w:tc>
        <w:tc>
          <w:tcPr>
            <w:tcW w:w="391" w:type="pct"/>
            <w:shd w:val="clear" w:color="auto" w:fill="FFFFFF"/>
            <w:vAlign w:val="center"/>
          </w:tcPr>
          <w:p w14:paraId="5600BDC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15" w:type="pct"/>
            <w:shd w:val="clear" w:color="auto" w:fill="FFFFFF"/>
            <w:vAlign w:val="center"/>
          </w:tcPr>
          <w:p w14:paraId="757D2D0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7" w:type="pct"/>
            <w:shd w:val="clear" w:color="auto" w:fill="FFFFFF"/>
            <w:vAlign w:val="center"/>
          </w:tcPr>
          <w:p w14:paraId="5E35F03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9.105</w:t>
            </w:r>
          </w:p>
        </w:tc>
        <w:tc>
          <w:tcPr>
            <w:tcW w:w="311" w:type="pct"/>
            <w:shd w:val="clear" w:color="auto" w:fill="FFFFFF"/>
            <w:vAlign w:val="center"/>
          </w:tcPr>
          <w:p w14:paraId="564D332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11" w:type="pct"/>
            <w:shd w:val="clear" w:color="auto" w:fill="FFFFFF"/>
            <w:vAlign w:val="center"/>
          </w:tcPr>
          <w:p w14:paraId="6AAFB8A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.003</w:t>
            </w:r>
          </w:p>
        </w:tc>
        <w:tc>
          <w:tcPr>
            <w:tcW w:w="389" w:type="pct"/>
            <w:shd w:val="clear" w:color="auto" w:fill="FFFFFF"/>
            <w:vAlign w:val="center"/>
          </w:tcPr>
          <w:p w14:paraId="724BD0E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.999</w:t>
            </w:r>
          </w:p>
        </w:tc>
        <w:tc>
          <w:tcPr>
            <w:tcW w:w="544" w:type="pct"/>
            <w:shd w:val="clear" w:color="auto" w:fill="FFFFFF"/>
            <w:vAlign w:val="center"/>
          </w:tcPr>
          <w:p w14:paraId="619B3AB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.999</w:t>
            </w:r>
          </w:p>
        </w:tc>
        <w:tc>
          <w:tcPr>
            <w:tcW w:w="471" w:type="pct"/>
            <w:shd w:val="clear" w:color="auto" w:fill="FFFFFF"/>
            <w:vAlign w:val="center"/>
          </w:tcPr>
          <w:p w14:paraId="1B293D4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r>
      <w:tr w:rsidR="002C438C" w:rsidRPr="002C438C" w14:paraId="0F5346C7" w14:textId="77777777" w:rsidTr="002C438C">
        <w:trPr>
          <w:cantSplit/>
          <w:trHeight w:val="20"/>
          <w:jc w:val="center"/>
        </w:trPr>
        <w:tc>
          <w:tcPr>
            <w:tcW w:w="1802" w:type="pct"/>
            <w:shd w:val="clear" w:color="auto" w:fill="FFFFFF"/>
            <w:vAlign w:val="center"/>
          </w:tcPr>
          <w:p w14:paraId="5974811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lastRenderedPageBreak/>
              <w:t>Transition to Industry 5.0 * Human Capital</w:t>
            </w:r>
          </w:p>
        </w:tc>
        <w:tc>
          <w:tcPr>
            <w:tcW w:w="391" w:type="pct"/>
            <w:shd w:val="clear" w:color="auto" w:fill="FFFFFF"/>
            <w:vAlign w:val="center"/>
          </w:tcPr>
          <w:p w14:paraId="658A70D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15" w:type="pct"/>
            <w:shd w:val="clear" w:color="auto" w:fill="FFFFFF"/>
            <w:vAlign w:val="center"/>
          </w:tcPr>
          <w:p w14:paraId="0B185F4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7" w:type="pct"/>
            <w:shd w:val="clear" w:color="auto" w:fill="FFFFFF"/>
            <w:vAlign w:val="center"/>
          </w:tcPr>
          <w:p w14:paraId="410CA30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11" w:type="pct"/>
            <w:shd w:val="clear" w:color="auto" w:fill="FFFFFF"/>
            <w:vAlign w:val="center"/>
          </w:tcPr>
          <w:p w14:paraId="1CD6204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11" w:type="pct"/>
            <w:shd w:val="clear" w:color="auto" w:fill="FFFFFF"/>
            <w:vAlign w:val="center"/>
          </w:tcPr>
          <w:p w14:paraId="5DA0FF2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0468B62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44" w:type="pct"/>
            <w:shd w:val="clear" w:color="auto" w:fill="FFFFFF"/>
            <w:vAlign w:val="center"/>
          </w:tcPr>
          <w:p w14:paraId="4021119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71" w:type="pct"/>
            <w:shd w:val="clear" w:color="auto" w:fill="FFFFFF"/>
            <w:vAlign w:val="center"/>
          </w:tcPr>
          <w:p w14:paraId="4FABDD3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6B3A160E" w14:textId="77777777" w:rsidTr="002C438C">
        <w:trPr>
          <w:cantSplit/>
          <w:trHeight w:val="20"/>
          <w:jc w:val="center"/>
        </w:trPr>
        <w:tc>
          <w:tcPr>
            <w:tcW w:w="1802" w:type="pct"/>
            <w:shd w:val="clear" w:color="auto" w:fill="FFFFFF"/>
            <w:vAlign w:val="center"/>
          </w:tcPr>
          <w:p w14:paraId="08CEFD1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Relational Capital</w:t>
            </w:r>
          </w:p>
        </w:tc>
        <w:tc>
          <w:tcPr>
            <w:tcW w:w="391" w:type="pct"/>
            <w:shd w:val="clear" w:color="auto" w:fill="FFFFFF"/>
            <w:vAlign w:val="center"/>
          </w:tcPr>
          <w:p w14:paraId="07CF0E3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15" w:type="pct"/>
            <w:shd w:val="clear" w:color="auto" w:fill="FFFFFF"/>
            <w:vAlign w:val="center"/>
          </w:tcPr>
          <w:p w14:paraId="2D60ADF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467" w:type="pct"/>
            <w:shd w:val="clear" w:color="auto" w:fill="FFFFFF"/>
            <w:vAlign w:val="center"/>
          </w:tcPr>
          <w:p w14:paraId="70FFBF9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.035</w:t>
            </w:r>
          </w:p>
        </w:tc>
        <w:tc>
          <w:tcPr>
            <w:tcW w:w="311" w:type="pct"/>
            <w:shd w:val="clear" w:color="auto" w:fill="FFFFFF"/>
            <w:vAlign w:val="center"/>
          </w:tcPr>
          <w:p w14:paraId="1E65E74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11" w:type="pct"/>
            <w:shd w:val="clear" w:color="auto" w:fill="FFFFFF"/>
            <w:vAlign w:val="center"/>
          </w:tcPr>
          <w:p w14:paraId="4666B6D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.852</w:t>
            </w:r>
          </w:p>
        </w:tc>
        <w:tc>
          <w:tcPr>
            <w:tcW w:w="389" w:type="pct"/>
            <w:shd w:val="clear" w:color="auto" w:fill="FFFFFF"/>
            <w:vAlign w:val="center"/>
          </w:tcPr>
          <w:p w14:paraId="6D81D98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c>
          <w:tcPr>
            <w:tcW w:w="544" w:type="pct"/>
            <w:shd w:val="clear" w:color="auto" w:fill="FFFFFF"/>
            <w:vAlign w:val="center"/>
          </w:tcPr>
          <w:p w14:paraId="298223E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.998</w:t>
            </w:r>
          </w:p>
        </w:tc>
        <w:tc>
          <w:tcPr>
            <w:tcW w:w="471" w:type="pct"/>
            <w:shd w:val="clear" w:color="auto" w:fill="FFFFFF"/>
            <w:vAlign w:val="center"/>
          </w:tcPr>
          <w:p w14:paraId="00A8EA8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1.002</w:t>
            </w:r>
          </w:p>
        </w:tc>
      </w:tr>
      <w:tr w:rsidR="002C438C" w:rsidRPr="002C438C" w14:paraId="24EDB161" w14:textId="77777777" w:rsidTr="002C438C">
        <w:trPr>
          <w:cantSplit/>
          <w:trHeight w:val="20"/>
          <w:jc w:val="center"/>
        </w:trPr>
        <w:tc>
          <w:tcPr>
            <w:tcW w:w="1802" w:type="pct"/>
            <w:shd w:val="clear" w:color="auto" w:fill="FFFFFF"/>
            <w:vAlign w:val="center"/>
          </w:tcPr>
          <w:p w14:paraId="2E6D0F3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Relational Capital</w:t>
            </w:r>
          </w:p>
        </w:tc>
        <w:tc>
          <w:tcPr>
            <w:tcW w:w="391" w:type="pct"/>
            <w:shd w:val="clear" w:color="auto" w:fill="FFFFFF"/>
            <w:vAlign w:val="center"/>
          </w:tcPr>
          <w:p w14:paraId="28ECDD2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15" w:type="pct"/>
            <w:shd w:val="clear" w:color="auto" w:fill="FFFFFF"/>
            <w:vAlign w:val="center"/>
          </w:tcPr>
          <w:p w14:paraId="21EC57B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7" w:type="pct"/>
            <w:shd w:val="clear" w:color="auto" w:fill="FFFFFF"/>
            <w:vAlign w:val="center"/>
          </w:tcPr>
          <w:p w14:paraId="02EEC73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11" w:type="pct"/>
            <w:shd w:val="clear" w:color="auto" w:fill="FFFFFF"/>
            <w:vAlign w:val="center"/>
          </w:tcPr>
          <w:p w14:paraId="1D5CCBB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11" w:type="pct"/>
            <w:shd w:val="clear" w:color="auto" w:fill="FFFFFF"/>
            <w:vAlign w:val="center"/>
          </w:tcPr>
          <w:p w14:paraId="0BFF08D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5201F74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44" w:type="pct"/>
            <w:shd w:val="clear" w:color="auto" w:fill="FFFFFF"/>
            <w:vAlign w:val="center"/>
          </w:tcPr>
          <w:p w14:paraId="3078C90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71" w:type="pct"/>
            <w:shd w:val="clear" w:color="auto" w:fill="FFFFFF"/>
            <w:vAlign w:val="center"/>
          </w:tcPr>
          <w:p w14:paraId="24C4975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51C0188A" w14:textId="77777777" w:rsidTr="002C438C">
        <w:trPr>
          <w:cantSplit/>
          <w:trHeight w:val="20"/>
          <w:jc w:val="center"/>
        </w:trPr>
        <w:tc>
          <w:tcPr>
            <w:tcW w:w="1802" w:type="pct"/>
            <w:shd w:val="clear" w:color="auto" w:fill="FFFFFF"/>
            <w:vAlign w:val="center"/>
          </w:tcPr>
          <w:p w14:paraId="4DBA9D7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Structural Capital</w:t>
            </w:r>
          </w:p>
        </w:tc>
        <w:tc>
          <w:tcPr>
            <w:tcW w:w="391" w:type="pct"/>
            <w:shd w:val="clear" w:color="auto" w:fill="FFFFFF"/>
            <w:vAlign w:val="center"/>
          </w:tcPr>
          <w:p w14:paraId="0B38E10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.006</w:t>
            </w:r>
          </w:p>
        </w:tc>
        <w:tc>
          <w:tcPr>
            <w:tcW w:w="315" w:type="pct"/>
            <w:shd w:val="clear" w:color="auto" w:fill="FFFFFF"/>
            <w:vAlign w:val="center"/>
          </w:tcPr>
          <w:p w14:paraId="201CFBB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.006</w:t>
            </w:r>
          </w:p>
        </w:tc>
        <w:tc>
          <w:tcPr>
            <w:tcW w:w="467" w:type="pct"/>
            <w:shd w:val="clear" w:color="auto" w:fill="FFFFFF"/>
            <w:vAlign w:val="center"/>
          </w:tcPr>
          <w:p w14:paraId="12F099B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1.017</w:t>
            </w:r>
          </w:p>
        </w:tc>
        <w:tc>
          <w:tcPr>
            <w:tcW w:w="311" w:type="pct"/>
            <w:shd w:val="clear" w:color="auto" w:fill="FFFFFF"/>
            <w:vAlign w:val="center"/>
          </w:tcPr>
          <w:p w14:paraId="3345778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11" w:type="pct"/>
            <w:shd w:val="clear" w:color="auto" w:fill="FFFFFF"/>
            <w:vAlign w:val="center"/>
          </w:tcPr>
          <w:p w14:paraId="0B06D6B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.313</w:t>
            </w:r>
          </w:p>
        </w:tc>
        <w:tc>
          <w:tcPr>
            <w:tcW w:w="389" w:type="pct"/>
            <w:shd w:val="clear" w:color="auto" w:fill="FFFFFF"/>
            <w:vAlign w:val="center"/>
          </w:tcPr>
          <w:p w14:paraId="206853E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1.006</w:t>
            </w:r>
          </w:p>
        </w:tc>
        <w:tc>
          <w:tcPr>
            <w:tcW w:w="544" w:type="pct"/>
            <w:shd w:val="clear" w:color="auto" w:fill="FFFFFF"/>
            <w:vAlign w:val="center"/>
          </w:tcPr>
          <w:p w14:paraId="5D67461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.994</w:t>
            </w:r>
          </w:p>
        </w:tc>
        <w:tc>
          <w:tcPr>
            <w:tcW w:w="471" w:type="pct"/>
            <w:shd w:val="clear" w:color="auto" w:fill="FFFFFF"/>
            <w:vAlign w:val="center"/>
          </w:tcPr>
          <w:p w14:paraId="5DF9C32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1.018</w:t>
            </w:r>
          </w:p>
        </w:tc>
      </w:tr>
      <w:tr w:rsidR="002C438C" w:rsidRPr="002C438C" w14:paraId="15C78471" w14:textId="77777777" w:rsidTr="002C438C">
        <w:trPr>
          <w:cantSplit/>
          <w:trHeight w:val="20"/>
          <w:jc w:val="center"/>
        </w:trPr>
        <w:tc>
          <w:tcPr>
            <w:tcW w:w="1802" w:type="pct"/>
            <w:shd w:val="clear" w:color="auto" w:fill="FFFFFF"/>
            <w:vAlign w:val="center"/>
          </w:tcPr>
          <w:p w14:paraId="517A458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Structural Capital</w:t>
            </w:r>
          </w:p>
        </w:tc>
        <w:tc>
          <w:tcPr>
            <w:tcW w:w="391" w:type="pct"/>
            <w:shd w:val="clear" w:color="auto" w:fill="FFFFFF"/>
            <w:vAlign w:val="center"/>
          </w:tcPr>
          <w:p w14:paraId="5AC9BB8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15" w:type="pct"/>
            <w:shd w:val="clear" w:color="auto" w:fill="FFFFFF"/>
            <w:vAlign w:val="center"/>
          </w:tcPr>
          <w:p w14:paraId="082D384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467" w:type="pct"/>
            <w:shd w:val="clear" w:color="auto" w:fill="FFFFFF"/>
            <w:vAlign w:val="center"/>
          </w:tcPr>
          <w:p w14:paraId="49D5327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11" w:type="pct"/>
            <w:shd w:val="clear" w:color="auto" w:fill="FFFFFF"/>
            <w:vAlign w:val="center"/>
          </w:tcPr>
          <w:p w14:paraId="12FDF94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11" w:type="pct"/>
            <w:shd w:val="clear" w:color="auto" w:fill="FFFFFF"/>
            <w:vAlign w:val="center"/>
          </w:tcPr>
          <w:p w14:paraId="3451619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311A22F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44" w:type="pct"/>
            <w:shd w:val="clear" w:color="auto" w:fill="FFFFFF"/>
            <w:vAlign w:val="center"/>
          </w:tcPr>
          <w:p w14:paraId="52BD402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71" w:type="pct"/>
            <w:shd w:val="clear" w:color="auto" w:fill="FFFFFF"/>
            <w:vAlign w:val="center"/>
          </w:tcPr>
          <w:p w14:paraId="4152851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202375D0" w14:textId="77777777" w:rsidTr="002C438C">
        <w:trPr>
          <w:cantSplit/>
          <w:trHeight w:val="20"/>
          <w:jc w:val="center"/>
        </w:trPr>
        <w:tc>
          <w:tcPr>
            <w:tcW w:w="5000" w:type="pct"/>
            <w:gridSpan w:val="9"/>
            <w:shd w:val="clear" w:color="auto" w:fill="FFFFFF"/>
            <w:vAlign w:val="center"/>
          </w:tcPr>
          <w:p w14:paraId="22309D6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Dependent Variable: Restaurants’ economic behavior</w:t>
            </w:r>
          </w:p>
          <w:p w14:paraId="3E13FED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Model: (Intercept), Industry level, Human Capital, Relational Capital, Structural Capital, Industry level * Human Capital, Industry level * Relational Capital, Industry level * Structural Capital</w:t>
            </w:r>
          </w:p>
        </w:tc>
      </w:tr>
      <w:tr w:rsidR="002C438C" w:rsidRPr="002C438C" w14:paraId="34BCE9DC" w14:textId="77777777" w:rsidTr="002C438C">
        <w:trPr>
          <w:cantSplit/>
          <w:trHeight w:val="20"/>
          <w:jc w:val="center"/>
        </w:trPr>
        <w:tc>
          <w:tcPr>
            <w:tcW w:w="5000" w:type="pct"/>
            <w:gridSpan w:val="9"/>
            <w:shd w:val="clear" w:color="auto" w:fill="FFFFFF"/>
            <w:vAlign w:val="center"/>
          </w:tcPr>
          <w:p w14:paraId="0B6B76E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a. Set to zero because this parameter is redundant.</w:t>
            </w:r>
          </w:p>
        </w:tc>
      </w:tr>
    </w:tbl>
    <w:p w14:paraId="4E647F61" w14:textId="77777777"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rPr>
        <w:t>Therefore, the behavior of the Romanian restaurants (RB) can be predicted based on the following equation:</w:t>
      </w:r>
    </w:p>
    <w:p w14:paraId="007779A5" w14:textId="77777777" w:rsidR="002C438C" w:rsidRPr="002C438C" w:rsidRDefault="002C438C" w:rsidP="002C438C">
      <w:pPr>
        <w:shd w:val="clear" w:color="auto" w:fill="FFFFFF"/>
        <w:ind w:left="2127" w:hanging="2127"/>
        <w:rPr>
          <w:rFonts w:ascii="Times New Roman" w:hAnsi="Times New Roman" w:cs="Times New Roman"/>
        </w:rPr>
      </w:pPr>
      <m:oMath>
        <m:r>
          <w:rPr>
            <w:rFonts w:ascii="Times New Roman" w:hAnsi="Times New Roman" w:cs="Times New Roman"/>
          </w:rPr>
          <m:t>Log-Odds</m:t>
        </m:r>
        <m:d>
          <m:dPr>
            <m:ctrlPr>
              <w:rPr>
                <w:rFonts w:ascii="Times New Roman" w:hAnsi="Times New Roman" w:cs="Times New Roman"/>
                <w:i/>
              </w:rPr>
            </m:ctrlPr>
          </m:dPr>
          <m:e>
            <m:r>
              <w:rPr>
                <w:rFonts w:ascii="Times New Roman" w:hAnsi="Times New Roman" w:cs="Times New Roman"/>
              </w:rPr>
              <m:t>RB</m:t>
            </m:r>
          </m:e>
        </m:d>
        <m:r>
          <w:rPr>
            <w:rFonts w:ascii="Times New Roman" w:hAnsi="Times New Roman" w:cs="Times New Roman"/>
          </w:rPr>
          <m:t>=-1.334+(1.130*Industry 4.0+</m:t>
        </m:r>
        <m:d>
          <m:dPr>
            <m:ctrlPr>
              <w:rPr>
                <w:rFonts w:ascii="Times New Roman" w:hAnsi="Times New Roman" w:cs="Times New Roman"/>
                <w:i/>
              </w:rPr>
            </m:ctrlPr>
          </m:dPr>
          <m:e>
            <m:r>
              <w:rPr>
                <w:rFonts w:ascii="Times New Roman" w:hAnsi="Times New Roman" w:cs="Times New Roman"/>
              </w:rPr>
              <m:t>0.001*Human Capital</m:t>
            </m:r>
          </m:e>
        </m:d>
        <m:r>
          <w:rPr>
            <w:rFonts w:ascii="Times New Roman" w:hAnsi="Times New Roman" w:cs="Times New Roman"/>
          </w:rPr>
          <m:t>+(-0.001*Relational Capital+</m:t>
        </m:r>
        <m:d>
          <m:dPr>
            <m:ctrlPr>
              <w:rPr>
                <w:rFonts w:ascii="Times New Roman" w:hAnsi="Times New Roman" w:cs="Times New Roman"/>
                <w:i/>
              </w:rPr>
            </m:ctrlPr>
          </m:dPr>
          <m:e>
            <m:r>
              <w:rPr>
                <w:rFonts w:ascii="Times New Roman" w:hAnsi="Times New Roman" w:cs="Times New Roman"/>
              </w:rPr>
              <m:t>-0.007*Structural Capital</m:t>
            </m:r>
          </m:e>
        </m:d>
        <m:r>
          <w:rPr>
            <w:rFonts w:ascii="Times New Roman" w:hAnsi="Times New Roman" w:cs="Times New Roman"/>
          </w:rPr>
          <m:t>+(-0.001*Industry 4.0*Human Capital+(0.006*Industry 4.0*Structural Capital</m:t>
        </m:r>
      </m:oMath>
      <w:r w:rsidRPr="002C438C">
        <w:rPr>
          <w:rFonts w:ascii="Times New Roman" w:hAnsi="Times New Roman" w:cs="Times New Roman"/>
        </w:rPr>
        <w:tab/>
      </w:r>
      <w:r w:rsidRPr="002C438C">
        <w:rPr>
          <w:rFonts w:ascii="Times New Roman" w:hAnsi="Times New Roman" w:cs="Times New Roman"/>
        </w:rPr>
        <w:tab/>
        <w:t xml:space="preserve">                                                              (1)</w:t>
      </w:r>
    </w:p>
    <w:p w14:paraId="02825469" w14:textId="72BADDFD"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b/>
          <w:bCs/>
        </w:rPr>
        <w:t>4.2. The role of Restaurant Maturity</w:t>
      </w:r>
    </w:p>
    <w:p w14:paraId="5CECECBA" w14:textId="77777777" w:rsidR="002C438C" w:rsidRPr="006A0927" w:rsidRDefault="002C438C" w:rsidP="006A0927">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rPr>
        <w:t>Still, significant differences appear among the restaurants, based on their level of maturity (Table 3). There is a statistically significant difference in the economic behavior adopted by (</w:t>
      </w:r>
      <w:proofErr w:type="spellStart"/>
      <w:r w:rsidRPr="002C438C">
        <w:rPr>
          <w:rFonts w:ascii="Times New Roman" w:hAnsi="Times New Roman" w:cs="Times New Roman"/>
        </w:rPr>
        <w:t>i</w:t>
      </w:r>
      <w:proofErr w:type="spellEnd"/>
      <w:r w:rsidRPr="002C438C">
        <w:rPr>
          <w:rFonts w:ascii="Times New Roman" w:hAnsi="Times New Roman" w:cs="Times New Roman"/>
        </w:rPr>
        <w:t>) the young restaurants and the developmental ones (p=0.043 &lt; 0.05), (ii) the young restaurants and the mature ones (p=0.008 &lt; 0.</w:t>
      </w:r>
      <w:r w:rsidRPr="006A0927">
        <w:rPr>
          <w:rFonts w:ascii="Times New Roman" w:hAnsi="Times New Roman" w:cs="Times New Roman"/>
          <w:sz w:val="24"/>
        </w:rPr>
        <w:t xml:space="preserve">01), </w:t>
      </w:r>
      <w:proofErr w:type="gramStart"/>
      <w:r w:rsidRPr="006A0927">
        <w:rPr>
          <w:rFonts w:ascii="Times New Roman" w:hAnsi="Times New Roman" w:cs="Times New Roman"/>
          <w:sz w:val="24"/>
        </w:rPr>
        <w:t>and also</w:t>
      </w:r>
      <w:proofErr w:type="gramEnd"/>
      <w:r w:rsidRPr="006A0927">
        <w:rPr>
          <w:rFonts w:ascii="Times New Roman" w:hAnsi="Times New Roman" w:cs="Times New Roman"/>
          <w:sz w:val="24"/>
        </w:rPr>
        <w:t xml:space="preserve"> (iii) the developmental restaurants and the mature ones (p=0.000 &lt; 0.001). Thus, 59.86% of the young restaurants, 80% of the developmental restaurants, and 31.45% of the mature restaurants decided to adapt Industry 4.0, focusing on digitalization. Within this framework, 77.63% of the young restaurants, 84.44% of the developmental restaurants, and 76.61% of the mature restaurants decided to adapt their activity, transitioning to Industry 5.0; the rest of them implemented a stability strategy, maintaining the same activity.</w:t>
      </w:r>
    </w:p>
    <w:p w14:paraId="084283D6" w14:textId="50D1A59E" w:rsidR="008F7229" w:rsidRDefault="002C438C" w:rsidP="006A0927">
      <w:pPr>
        <w:shd w:val="clear" w:color="auto" w:fill="FFFFFF"/>
        <w:spacing w:before="120" w:after="120" w:line="240" w:lineRule="auto"/>
        <w:jc w:val="both"/>
        <w:rPr>
          <w:rFonts w:ascii="Times New Roman" w:hAnsi="Times New Roman" w:cs="Times New Roman"/>
        </w:rPr>
      </w:pPr>
      <w:r w:rsidRPr="006A0927">
        <w:rPr>
          <w:rFonts w:ascii="Times New Roman" w:hAnsi="Times New Roman" w:cs="Times New Roman"/>
          <w:sz w:val="24"/>
        </w:rPr>
        <w:t>Besides, significant differences appear among the restaurants when it comes to IC dimensions. Regarding the human capital, there are significant differences between (</w:t>
      </w:r>
      <w:proofErr w:type="spellStart"/>
      <w:r w:rsidRPr="006A0927">
        <w:rPr>
          <w:rFonts w:ascii="Times New Roman" w:hAnsi="Times New Roman" w:cs="Times New Roman"/>
          <w:sz w:val="24"/>
        </w:rPr>
        <w:t>i</w:t>
      </w:r>
      <w:proofErr w:type="spellEnd"/>
      <w:r w:rsidRPr="006A0927">
        <w:rPr>
          <w:rFonts w:ascii="Times New Roman" w:hAnsi="Times New Roman" w:cs="Times New Roman"/>
          <w:sz w:val="24"/>
        </w:rPr>
        <w:t>) the young restaurants and the mature ones (p=0.000 &lt; 0.001), and (ii) the developmental restaurants and the mature ones (p=0.004 &lt; 0.005).</w:t>
      </w:r>
      <w:r w:rsidRPr="002C438C">
        <w:rPr>
          <w:rFonts w:ascii="Times New Roman" w:hAnsi="Times New Roman" w:cs="Times New Roman"/>
          <w:sz w:val="24"/>
        </w:rPr>
        <w:t xml:space="preserve"> Regarding the relational capital, there are significant differences between (</w:t>
      </w:r>
      <w:proofErr w:type="spellStart"/>
      <w:r w:rsidRPr="002C438C">
        <w:rPr>
          <w:rFonts w:ascii="Times New Roman" w:hAnsi="Times New Roman" w:cs="Times New Roman"/>
          <w:sz w:val="24"/>
        </w:rPr>
        <w:t>i</w:t>
      </w:r>
      <w:proofErr w:type="spellEnd"/>
      <w:r w:rsidRPr="002C438C">
        <w:rPr>
          <w:rFonts w:ascii="Times New Roman" w:hAnsi="Times New Roman" w:cs="Times New Roman"/>
          <w:sz w:val="24"/>
        </w:rPr>
        <w:t>) the young restaurants and the dev</w:t>
      </w:r>
      <w:r w:rsidRPr="002C438C">
        <w:rPr>
          <w:rFonts w:ascii="Times New Roman" w:hAnsi="Times New Roman" w:cs="Times New Roman"/>
        </w:rPr>
        <w:t xml:space="preserve">elopmental ones (p=0.004 &lt; 0.005), and (ii) the developmental restaurants and the mature ones (p=0.001 &lt; 0.005). </w:t>
      </w:r>
      <w:proofErr w:type="gramStart"/>
      <w:r w:rsidRPr="002C438C">
        <w:rPr>
          <w:rFonts w:ascii="Times New Roman" w:hAnsi="Times New Roman" w:cs="Times New Roman"/>
        </w:rPr>
        <w:t>Last but not least</w:t>
      </w:r>
      <w:proofErr w:type="gramEnd"/>
      <w:r w:rsidRPr="002C438C">
        <w:rPr>
          <w:rFonts w:ascii="Times New Roman" w:hAnsi="Times New Roman" w:cs="Times New Roman"/>
        </w:rPr>
        <w:t>, there are significant differences in terms of structural capital between (</w:t>
      </w:r>
      <w:proofErr w:type="spellStart"/>
      <w:r w:rsidRPr="002C438C">
        <w:rPr>
          <w:rFonts w:ascii="Times New Roman" w:hAnsi="Times New Roman" w:cs="Times New Roman"/>
        </w:rPr>
        <w:t>i</w:t>
      </w:r>
      <w:proofErr w:type="spellEnd"/>
      <w:r w:rsidRPr="002C438C">
        <w:rPr>
          <w:rFonts w:ascii="Times New Roman" w:hAnsi="Times New Roman" w:cs="Times New Roman"/>
        </w:rPr>
        <w:t>) the young restaurants and the mature ones (p=0.004 &lt; 0.005), and (ii) the developmental restaurants and the mature ones (p=0.023 &lt; 0.05).</w:t>
      </w:r>
    </w:p>
    <w:p w14:paraId="15CB7219" w14:textId="77777777" w:rsidR="008F7229" w:rsidRDefault="008F7229">
      <w:pPr>
        <w:rPr>
          <w:rFonts w:ascii="Times New Roman" w:hAnsi="Times New Roman" w:cs="Times New Roman"/>
        </w:rPr>
      </w:pPr>
      <w:r>
        <w:rPr>
          <w:rFonts w:ascii="Times New Roman" w:hAnsi="Times New Roman" w:cs="Times New Roman"/>
        </w:rPr>
        <w:br w:type="page"/>
      </w:r>
    </w:p>
    <w:p w14:paraId="7AC84EF4" w14:textId="77777777" w:rsidR="002C438C" w:rsidRPr="002C438C" w:rsidRDefault="002C438C" w:rsidP="002C438C">
      <w:pPr>
        <w:adjustRightInd w:val="0"/>
        <w:spacing w:before="120" w:after="0" w:line="240" w:lineRule="auto"/>
        <w:jc w:val="center"/>
        <w:rPr>
          <w:rFonts w:ascii="Times New Roman" w:hAnsi="Times New Roman" w:cs="Times New Roman"/>
          <w:i/>
          <w:iCs/>
        </w:rPr>
      </w:pPr>
      <w:r w:rsidRPr="002C438C">
        <w:rPr>
          <w:rFonts w:ascii="Times New Roman" w:hAnsi="Times New Roman" w:cs="Times New Roman"/>
          <w:i/>
          <w:iCs/>
        </w:rPr>
        <w:lastRenderedPageBreak/>
        <w:t>Table 3: Comparative analysis among the restaurants, based on their level of maturity</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2" w:type="dxa"/>
          <w:left w:w="72" w:type="dxa"/>
          <w:bottom w:w="72" w:type="dxa"/>
          <w:right w:w="72" w:type="dxa"/>
        </w:tblCellMar>
        <w:tblLook w:val="0000" w:firstRow="0" w:lastRow="0" w:firstColumn="0" w:lastColumn="0" w:noHBand="0" w:noVBand="0"/>
      </w:tblPr>
      <w:tblGrid>
        <w:gridCol w:w="1145"/>
        <w:gridCol w:w="1563"/>
        <w:gridCol w:w="1561"/>
        <w:gridCol w:w="1216"/>
        <w:gridCol w:w="867"/>
        <w:gridCol w:w="698"/>
        <w:gridCol w:w="1002"/>
        <w:gridCol w:w="993"/>
      </w:tblGrid>
      <w:tr w:rsidR="002C438C" w:rsidRPr="002C438C" w14:paraId="7699E44D" w14:textId="77777777" w:rsidTr="0029675A">
        <w:trPr>
          <w:cantSplit/>
          <w:trHeight w:val="20"/>
          <w:tblHeader/>
          <w:jc w:val="center"/>
        </w:trPr>
        <w:tc>
          <w:tcPr>
            <w:tcW w:w="633" w:type="pct"/>
            <w:vMerge w:val="restart"/>
            <w:shd w:val="clear" w:color="auto" w:fill="FFFFFF"/>
            <w:vAlign w:val="center"/>
          </w:tcPr>
          <w:p w14:paraId="7189D8E7"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Variable</w:t>
            </w:r>
          </w:p>
        </w:tc>
        <w:tc>
          <w:tcPr>
            <w:tcW w:w="864" w:type="pct"/>
            <w:vMerge w:val="restart"/>
            <w:shd w:val="clear" w:color="auto" w:fill="FFFFFF"/>
            <w:vAlign w:val="center"/>
          </w:tcPr>
          <w:p w14:paraId="50531645"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(I) Level of maturity</w:t>
            </w:r>
          </w:p>
        </w:tc>
        <w:tc>
          <w:tcPr>
            <w:tcW w:w="863" w:type="pct"/>
            <w:vMerge w:val="restart"/>
            <w:shd w:val="clear" w:color="auto" w:fill="FFFFFF"/>
            <w:vAlign w:val="center"/>
          </w:tcPr>
          <w:p w14:paraId="1E8A34C1"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(J) Level of maturity</w:t>
            </w:r>
          </w:p>
        </w:tc>
        <w:tc>
          <w:tcPr>
            <w:tcW w:w="672" w:type="pct"/>
            <w:vMerge w:val="restart"/>
            <w:shd w:val="clear" w:color="auto" w:fill="FFFFFF"/>
            <w:vAlign w:val="center"/>
          </w:tcPr>
          <w:p w14:paraId="371681DE"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Mean Difference (I-J)</w:t>
            </w:r>
          </w:p>
        </w:tc>
        <w:tc>
          <w:tcPr>
            <w:tcW w:w="479" w:type="pct"/>
            <w:vMerge w:val="restart"/>
            <w:shd w:val="clear" w:color="auto" w:fill="FFFFFF"/>
            <w:vAlign w:val="center"/>
          </w:tcPr>
          <w:p w14:paraId="7580EC80"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SE</w:t>
            </w:r>
          </w:p>
        </w:tc>
        <w:tc>
          <w:tcPr>
            <w:tcW w:w="386" w:type="pct"/>
            <w:vMerge w:val="restart"/>
            <w:shd w:val="clear" w:color="auto" w:fill="FFFFFF"/>
            <w:vAlign w:val="center"/>
          </w:tcPr>
          <w:p w14:paraId="6DFDD5F2"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Sig.</w:t>
            </w:r>
          </w:p>
        </w:tc>
        <w:tc>
          <w:tcPr>
            <w:tcW w:w="1104" w:type="pct"/>
            <w:gridSpan w:val="2"/>
            <w:shd w:val="clear" w:color="auto" w:fill="FFFFFF"/>
            <w:vAlign w:val="center"/>
          </w:tcPr>
          <w:p w14:paraId="3E059109"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95% Confidence Interval</w:t>
            </w:r>
          </w:p>
        </w:tc>
      </w:tr>
      <w:tr w:rsidR="002C438C" w:rsidRPr="002C438C" w14:paraId="53CC6685" w14:textId="77777777" w:rsidTr="0029675A">
        <w:trPr>
          <w:cantSplit/>
          <w:trHeight w:val="20"/>
          <w:tblHeader/>
          <w:jc w:val="center"/>
        </w:trPr>
        <w:tc>
          <w:tcPr>
            <w:tcW w:w="633" w:type="pct"/>
            <w:vMerge/>
            <w:shd w:val="clear" w:color="auto" w:fill="FFFFFF"/>
            <w:vAlign w:val="center"/>
          </w:tcPr>
          <w:p w14:paraId="08D85C9B"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864" w:type="pct"/>
            <w:vMerge/>
            <w:shd w:val="clear" w:color="auto" w:fill="FFFFFF"/>
            <w:vAlign w:val="center"/>
          </w:tcPr>
          <w:p w14:paraId="6F6558E2"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863" w:type="pct"/>
            <w:vMerge/>
            <w:shd w:val="clear" w:color="auto" w:fill="FFFFFF"/>
            <w:vAlign w:val="center"/>
          </w:tcPr>
          <w:p w14:paraId="1E0FC73F"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672" w:type="pct"/>
            <w:vMerge/>
            <w:shd w:val="clear" w:color="auto" w:fill="FFFFFF"/>
            <w:vAlign w:val="center"/>
          </w:tcPr>
          <w:p w14:paraId="5E5B7A27"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479" w:type="pct"/>
            <w:vMerge/>
            <w:shd w:val="clear" w:color="auto" w:fill="FFFFFF"/>
            <w:vAlign w:val="center"/>
          </w:tcPr>
          <w:p w14:paraId="766A01D5"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86" w:type="pct"/>
            <w:vMerge/>
            <w:shd w:val="clear" w:color="auto" w:fill="FFFFFF"/>
            <w:vAlign w:val="center"/>
          </w:tcPr>
          <w:p w14:paraId="5BD53626"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554" w:type="pct"/>
            <w:shd w:val="clear" w:color="auto" w:fill="FFFFFF"/>
            <w:vAlign w:val="center"/>
          </w:tcPr>
          <w:p w14:paraId="1D8B2DB1" w14:textId="77777777" w:rsidR="002C438C" w:rsidRPr="0029675A" w:rsidRDefault="002C438C" w:rsidP="002C438C">
            <w:pPr>
              <w:adjustRightInd w:val="0"/>
              <w:snapToGrid w:val="0"/>
              <w:spacing w:after="0" w:line="240" w:lineRule="auto"/>
              <w:jc w:val="center"/>
              <w:rPr>
                <w:rFonts w:ascii="Times New Roman" w:hAnsi="Times New Roman" w:cs="Times New Roman"/>
                <w:b/>
                <w:i/>
                <w:iCs/>
                <w:color w:val="000000"/>
                <w:sz w:val="20"/>
              </w:rPr>
            </w:pPr>
            <w:r w:rsidRPr="0029675A">
              <w:rPr>
                <w:rFonts w:ascii="Times New Roman" w:hAnsi="Times New Roman" w:cs="Times New Roman"/>
                <w:b/>
                <w:i/>
                <w:iCs/>
                <w:color w:val="000000"/>
                <w:sz w:val="20"/>
              </w:rPr>
              <w:t>Lower</w:t>
            </w:r>
          </w:p>
        </w:tc>
        <w:tc>
          <w:tcPr>
            <w:tcW w:w="550" w:type="pct"/>
            <w:shd w:val="clear" w:color="auto" w:fill="FFFFFF"/>
            <w:vAlign w:val="center"/>
          </w:tcPr>
          <w:p w14:paraId="7F64A9A0" w14:textId="77777777" w:rsidR="002C438C" w:rsidRPr="0029675A" w:rsidRDefault="002C438C" w:rsidP="002C438C">
            <w:pPr>
              <w:adjustRightInd w:val="0"/>
              <w:snapToGrid w:val="0"/>
              <w:spacing w:after="0" w:line="240" w:lineRule="auto"/>
              <w:jc w:val="center"/>
              <w:rPr>
                <w:rFonts w:ascii="Times New Roman" w:hAnsi="Times New Roman" w:cs="Times New Roman"/>
                <w:b/>
                <w:i/>
                <w:iCs/>
                <w:color w:val="000000"/>
                <w:sz w:val="20"/>
              </w:rPr>
            </w:pPr>
            <w:r w:rsidRPr="0029675A">
              <w:rPr>
                <w:rFonts w:ascii="Times New Roman" w:hAnsi="Times New Roman" w:cs="Times New Roman"/>
                <w:b/>
                <w:i/>
                <w:iCs/>
                <w:color w:val="000000"/>
                <w:sz w:val="20"/>
              </w:rPr>
              <w:t>Upper</w:t>
            </w:r>
          </w:p>
        </w:tc>
      </w:tr>
      <w:tr w:rsidR="002C438C" w:rsidRPr="002C438C" w14:paraId="47E85421" w14:textId="77777777" w:rsidTr="002C438C">
        <w:trPr>
          <w:cantSplit/>
          <w:trHeight w:val="20"/>
          <w:jc w:val="center"/>
        </w:trPr>
        <w:tc>
          <w:tcPr>
            <w:tcW w:w="633" w:type="pct"/>
            <w:vMerge w:val="restart"/>
            <w:shd w:val="clear" w:color="auto" w:fill="FFFFFF"/>
            <w:vAlign w:val="center"/>
          </w:tcPr>
          <w:p w14:paraId="6385DED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Economic behavior</w:t>
            </w:r>
          </w:p>
        </w:tc>
        <w:tc>
          <w:tcPr>
            <w:tcW w:w="864" w:type="pct"/>
            <w:vMerge w:val="restart"/>
            <w:shd w:val="clear" w:color="auto" w:fill="FFFFFF"/>
            <w:vAlign w:val="center"/>
          </w:tcPr>
          <w:p w14:paraId="21C2FF3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Young</w:t>
            </w:r>
          </w:p>
        </w:tc>
        <w:tc>
          <w:tcPr>
            <w:tcW w:w="863" w:type="pct"/>
            <w:shd w:val="clear" w:color="auto" w:fill="FFFFFF"/>
            <w:vAlign w:val="center"/>
          </w:tcPr>
          <w:p w14:paraId="50C5359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672" w:type="pct"/>
            <w:shd w:val="clear" w:color="auto" w:fill="FFFFFF"/>
            <w:vAlign w:val="center"/>
          </w:tcPr>
          <w:p w14:paraId="38A601E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-.131</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53A3D42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.054</w:t>
            </w:r>
          </w:p>
        </w:tc>
        <w:tc>
          <w:tcPr>
            <w:tcW w:w="386" w:type="pct"/>
            <w:shd w:val="clear" w:color="auto" w:fill="FFFFFF"/>
            <w:vAlign w:val="center"/>
          </w:tcPr>
          <w:p w14:paraId="4F0EE92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.043</w:t>
            </w:r>
          </w:p>
        </w:tc>
        <w:tc>
          <w:tcPr>
            <w:tcW w:w="554" w:type="pct"/>
            <w:shd w:val="clear" w:color="auto" w:fill="FFFFFF"/>
            <w:vAlign w:val="center"/>
          </w:tcPr>
          <w:p w14:paraId="0A14841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-.260</w:t>
            </w:r>
          </w:p>
        </w:tc>
        <w:tc>
          <w:tcPr>
            <w:tcW w:w="550" w:type="pct"/>
            <w:shd w:val="clear" w:color="auto" w:fill="FFFFFF"/>
            <w:vAlign w:val="center"/>
          </w:tcPr>
          <w:p w14:paraId="501B71C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-.003</w:t>
            </w:r>
          </w:p>
        </w:tc>
      </w:tr>
      <w:tr w:rsidR="002C438C" w:rsidRPr="002C438C" w14:paraId="0DE09993" w14:textId="77777777" w:rsidTr="002C438C">
        <w:trPr>
          <w:cantSplit/>
          <w:trHeight w:val="20"/>
          <w:jc w:val="center"/>
        </w:trPr>
        <w:tc>
          <w:tcPr>
            <w:tcW w:w="633" w:type="pct"/>
            <w:vMerge/>
            <w:shd w:val="clear" w:color="auto" w:fill="FFFFFF"/>
            <w:vAlign w:val="center"/>
          </w:tcPr>
          <w:p w14:paraId="36F04D5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3BD46DF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5F8B17E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672" w:type="pct"/>
            <w:shd w:val="clear" w:color="auto" w:fill="FFFFFF"/>
            <w:vAlign w:val="center"/>
          </w:tcPr>
          <w:p w14:paraId="7622140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.150</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1468039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.049</w:t>
            </w:r>
          </w:p>
        </w:tc>
        <w:tc>
          <w:tcPr>
            <w:tcW w:w="386" w:type="pct"/>
            <w:shd w:val="clear" w:color="auto" w:fill="FFFFFF"/>
            <w:vAlign w:val="center"/>
          </w:tcPr>
          <w:p w14:paraId="755EEC8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.008</w:t>
            </w:r>
          </w:p>
        </w:tc>
        <w:tc>
          <w:tcPr>
            <w:tcW w:w="554" w:type="pct"/>
            <w:shd w:val="clear" w:color="auto" w:fill="FFFFFF"/>
            <w:vAlign w:val="center"/>
          </w:tcPr>
          <w:p w14:paraId="55A40E9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.032</w:t>
            </w:r>
          </w:p>
        </w:tc>
        <w:tc>
          <w:tcPr>
            <w:tcW w:w="550" w:type="pct"/>
            <w:shd w:val="clear" w:color="auto" w:fill="FFFFFF"/>
            <w:vAlign w:val="center"/>
          </w:tcPr>
          <w:p w14:paraId="11D0AF4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.267</w:t>
            </w:r>
          </w:p>
        </w:tc>
      </w:tr>
      <w:tr w:rsidR="002C438C" w:rsidRPr="002C438C" w14:paraId="150C57AA" w14:textId="77777777" w:rsidTr="002C438C">
        <w:trPr>
          <w:cantSplit/>
          <w:trHeight w:val="20"/>
          <w:jc w:val="center"/>
        </w:trPr>
        <w:tc>
          <w:tcPr>
            <w:tcW w:w="633" w:type="pct"/>
            <w:vMerge/>
            <w:shd w:val="clear" w:color="auto" w:fill="FFFFFF"/>
            <w:vAlign w:val="center"/>
          </w:tcPr>
          <w:p w14:paraId="7C70560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val="restart"/>
            <w:shd w:val="clear" w:color="auto" w:fill="FFFFFF"/>
            <w:vAlign w:val="center"/>
          </w:tcPr>
          <w:p w14:paraId="7CA0F1C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863" w:type="pct"/>
            <w:shd w:val="clear" w:color="auto" w:fill="FFFFFF"/>
            <w:vAlign w:val="center"/>
          </w:tcPr>
          <w:p w14:paraId="45694C9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672" w:type="pct"/>
            <w:shd w:val="clear" w:color="auto" w:fill="FFFFFF"/>
            <w:vAlign w:val="center"/>
          </w:tcPr>
          <w:p w14:paraId="73AB43B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.131</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0C50E88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.054</w:t>
            </w:r>
          </w:p>
        </w:tc>
        <w:tc>
          <w:tcPr>
            <w:tcW w:w="386" w:type="pct"/>
            <w:shd w:val="clear" w:color="auto" w:fill="FFFFFF"/>
            <w:vAlign w:val="center"/>
          </w:tcPr>
          <w:p w14:paraId="16F4FCA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.043</w:t>
            </w:r>
          </w:p>
        </w:tc>
        <w:tc>
          <w:tcPr>
            <w:tcW w:w="554" w:type="pct"/>
            <w:shd w:val="clear" w:color="auto" w:fill="FFFFFF"/>
            <w:vAlign w:val="center"/>
          </w:tcPr>
          <w:p w14:paraId="4F8E41D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.003</w:t>
            </w:r>
          </w:p>
        </w:tc>
        <w:tc>
          <w:tcPr>
            <w:tcW w:w="550" w:type="pct"/>
            <w:shd w:val="clear" w:color="auto" w:fill="FFFFFF"/>
            <w:vAlign w:val="center"/>
          </w:tcPr>
          <w:p w14:paraId="1F8038B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.260</w:t>
            </w:r>
          </w:p>
        </w:tc>
      </w:tr>
      <w:tr w:rsidR="002C438C" w:rsidRPr="002C438C" w14:paraId="29A81E68" w14:textId="77777777" w:rsidTr="002C438C">
        <w:trPr>
          <w:cantSplit/>
          <w:trHeight w:val="20"/>
          <w:jc w:val="center"/>
        </w:trPr>
        <w:tc>
          <w:tcPr>
            <w:tcW w:w="633" w:type="pct"/>
            <w:vMerge/>
            <w:shd w:val="clear" w:color="auto" w:fill="FFFFFF"/>
            <w:vAlign w:val="center"/>
          </w:tcPr>
          <w:p w14:paraId="158BDB6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316D565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4A96F3F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672" w:type="pct"/>
            <w:shd w:val="clear" w:color="auto" w:fill="FFFFFF"/>
            <w:vAlign w:val="center"/>
          </w:tcPr>
          <w:p w14:paraId="1C1B38A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.281</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5B5A4A2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.057</w:t>
            </w:r>
          </w:p>
        </w:tc>
        <w:tc>
          <w:tcPr>
            <w:tcW w:w="386" w:type="pct"/>
            <w:shd w:val="clear" w:color="auto" w:fill="FFFFFF"/>
            <w:vAlign w:val="center"/>
          </w:tcPr>
          <w:p w14:paraId="31DB4C9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554" w:type="pct"/>
            <w:shd w:val="clear" w:color="auto" w:fill="FFFFFF"/>
            <w:vAlign w:val="center"/>
          </w:tcPr>
          <w:p w14:paraId="45167DA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.147</w:t>
            </w:r>
          </w:p>
        </w:tc>
        <w:tc>
          <w:tcPr>
            <w:tcW w:w="550" w:type="pct"/>
            <w:shd w:val="clear" w:color="auto" w:fill="FFFFFF"/>
            <w:vAlign w:val="center"/>
          </w:tcPr>
          <w:p w14:paraId="0ADF0AA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.416</w:t>
            </w:r>
          </w:p>
        </w:tc>
      </w:tr>
      <w:tr w:rsidR="002C438C" w:rsidRPr="002C438C" w14:paraId="5EE62301" w14:textId="77777777" w:rsidTr="002C438C">
        <w:trPr>
          <w:cantSplit/>
          <w:trHeight w:val="20"/>
          <w:jc w:val="center"/>
        </w:trPr>
        <w:tc>
          <w:tcPr>
            <w:tcW w:w="633" w:type="pct"/>
            <w:vMerge/>
            <w:shd w:val="clear" w:color="auto" w:fill="FFFFFF"/>
            <w:vAlign w:val="center"/>
          </w:tcPr>
          <w:p w14:paraId="31A333A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val="restart"/>
            <w:shd w:val="clear" w:color="auto" w:fill="FFFFFF"/>
            <w:vAlign w:val="center"/>
          </w:tcPr>
          <w:p w14:paraId="5D02610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863" w:type="pct"/>
            <w:shd w:val="clear" w:color="auto" w:fill="FFFFFF"/>
            <w:vAlign w:val="center"/>
          </w:tcPr>
          <w:p w14:paraId="3F50C93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672" w:type="pct"/>
            <w:shd w:val="clear" w:color="auto" w:fill="FFFFFF"/>
            <w:vAlign w:val="center"/>
          </w:tcPr>
          <w:p w14:paraId="194533D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-.150</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0EE3145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.049</w:t>
            </w:r>
          </w:p>
        </w:tc>
        <w:tc>
          <w:tcPr>
            <w:tcW w:w="386" w:type="pct"/>
            <w:shd w:val="clear" w:color="auto" w:fill="FFFFFF"/>
            <w:vAlign w:val="center"/>
          </w:tcPr>
          <w:p w14:paraId="3890989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.008</w:t>
            </w:r>
          </w:p>
        </w:tc>
        <w:tc>
          <w:tcPr>
            <w:tcW w:w="554" w:type="pct"/>
            <w:shd w:val="clear" w:color="auto" w:fill="FFFFFF"/>
            <w:vAlign w:val="center"/>
          </w:tcPr>
          <w:p w14:paraId="1E3A8EC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-.267</w:t>
            </w:r>
          </w:p>
        </w:tc>
        <w:tc>
          <w:tcPr>
            <w:tcW w:w="550" w:type="pct"/>
            <w:shd w:val="clear" w:color="auto" w:fill="FFFFFF"/>
            <w:vAlign w:val="center"/>
          </w:tcPr>
          <w:p w14:paraId="4785464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-.032</w:t>
            </w:r>
          </w:p>
        </w:tc>
      </w:tr>
      <w:tr w:rsidR="002C438C" w:rsidRPr="002C438C" w14:paraId="773FD61A" w14:textId="77777777" w:rsidTr="002C438C">
        <w:trPr>
          <w:cantSplit/>
          <w:trHeight w:val="20"/>
          <w:jc w:val="center"/>
        </w:trPr>
        <w:tc>
          <w:tcPr>
            <w:tcW w:w="633" w:type="pct"/>
            <w:vMerge/>
            <w:shd w:val="clear" w:color="auto" w:fill="FFFFFF"/>
            <w:vAlign w:val="center"/>
          </w:tcPr>
          <w:p w14:paraId="3DD9B7F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6472D64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2492EB9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672" w:type="pct"/>
            <w:shd w:val="clear" w:color="auto" w:fill="FFFFFF"/>
            <w:vAlign w:val="center"/>
          </w:tcPr>
          <w:p w14:paraId="336591A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-.281</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5A9135D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.057</w:t>
            </w:r>
          </w:p>
        </w:tc>
        <w:tc>
          <w:tcPr>
            <w:tcW w:w="386" w:type="pct"/>
            <w:shd w:val="clear" w:color="auto" w:fill="FFFFFF"/>
            <w:vAlign w:val="center"/>
          </w:tcPr>
          <w:p w14:paraId="0FCB5D3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554" w:type="pct"/>
            <w:shd w:val="clear" w:color="auto" w:fill="FFFFFF"/>
            <w:vAlign w:val="center"/>
          </w:tcPr>
          <w:p w14:paraId="07C3ADD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-.416</w:t>
            </w:r>
          </w:p>
        </w:tc>
        <w:tc>
          <w:tcPr>
            <w:tcW w:w="550" w:type="pct"/>
            <w:shd w:val="clear" w:color="auto" w:fill="FFFFFF"/>
            <w:vAlign w:val="center"/>
          </w:tcPr>
          <w:p w14:paraId="78F201E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-.147</w:t>
            </w:r>
          </w:p>
        </w:tc>
      </w:tr>
      <w:tr w:rsidR="002C438C" w:rsidRPr="002C438C" w14:paraId="1F535AAF" w14:textId="77777777" w:rsidTr="002C438C">
        <w:trPr>
          <w:cantSplit/>
          <w:trHeight w:val="20"/>
          <w:jc w:val="center"/>
        </w:trPr>
        <w:tc>
          <w:tcPr>
            <w:tcW w:w="633" w:type="pct"/>
            <w:vMerge w:val="restart"/>
            <w:shd w:val="clear" w:color="auto" w:fill="FFFFFF"/>
            <w:vAlign w:val="center"/>
          </w:tcPr>
          <w:p w14:paraId="6705A5E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Human Capital</w:t>
            </w:r>
          </w:p>
        </w:tc>
        <w:tc>
          <w:tcPr>
            <w:tcW w:w="864" w:type="pct"/>
            <w:vMerge w:val="restart"/>
            <w:shd w:val="clear" w:color="auto" w:fill="FFFFFF"/>
            <w:vAlign w:val="center"/>
          </w:tcPr>
          <w:p w14:paraId="5EBA252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863" w:type="pct"/>
            <w:shd w:val="clear" w:color="auto" w:fill="FFFFFF"/>
            <w:vAlign w:val="center"/>
          </w:tcPr>
          <w:p w14:paraId="2630E0C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672" w:type="pct"/>
            <w:shd w:val="clear" w:color="auto" w:fill="FFFFFF"/>
            <w:vAlign w:val="center"/>
          </w:tcPr>
          <w:p w14:paraId="3C2CEDD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-29.865</w:t>
            </w:r>
          </w:p>
        </w:tc>
        <w:tc>
          <w:tcPr>
            <w:tcW w:w="479" w:type="pct"/>
            <w:shd w:val="clear" w:color="auto" w:fill="FFFFFF"/>
            <w:vAlign w:val="center"/>
          </w:tcPr>
          <w:p w14:paraId="22AC407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45.481</w:t>
            </w:r>
          </w:p>
        </w:tc>
        <w:tc>
          <w:tcPr>
            <w:tcW w:w="386" w:type="pct"/>
            <w:shd w:val="clear" w:color="auto" w:fill="FFFFFF"/>
            <w:vAlign w:val="center"/>
          </w:tcPr>
          <w:p w14:paraId="45330C3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.789</w:t>
            </w:r>
          </w:p>
        </w:tc>
        <w:tc>
          <w:tcPr>
            <w:tcW w:w="554" w:type="pct"/>
            <w:shd w:val="clear" w:color="auto" w:fill="FFFFFF"/>
            <w:vAlign w:val="center"/>
          </w:tcPr>
          <w:p w14:paraId="5269AAF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-136.813</w:t>
            </w:r>
          </w:p>
        </w:tc>
        <w:tc>
          <w:tcPr>
            <w:tcW w:w="550" w:type="pct"/>
            <w:shd w:val="clear" w:color="auto" w:fill="FFFFFF"/>
            <w:vAlign w:val="center"/>
          </w:tcPr>
          <w:p w14:paraId="3AD1D7D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77.082</w:t>
            </w:r>
          </w:p>
        </w:tc>
      </w:tr>
      <w:tr w:rsidR="002C438C" w:rsidRPr="002C438C" w14:paraId="699F240E" w14:textId="77777777" w:rsidTr="002C438C">
        <w:trPr>
          <w:cantSplit/>
          <w:trHeight w:val="20"/>
          <w:jc w:val="center"/>
        </w:trPr>
        <w:tc>
          <w:tcPr>
            <w:tcW w:w="633" w:type="pct"/>
            <w:vMerge/>
            <w:shd w:val="clear" w:color="auto" w:fill="FFFFFF"/>
            <w:vAlign w:val="center"/>
          </w:tcPr>
          <w:p w14:paraId="5BCAA8C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08BA369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6ACCCCD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Mature</w:t>
            </w:r>
          </w:p>
        </w:tc>
        <w:tc>
          <w:tcPr>
            <w:tcW w:w="672" w:type="pct"/>
            <w:shd w:val="clear" w:color="auto" w:fill="FFFFFF"/>
            <w:vAlign w:val="center"/>
          </w:tcPr>
          <w:p w14:paraId="4DDC393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-181.521</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148BC16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41.545</w:t>
            </w:r>
          </w:p>
        </w:tc>
        <w:tc>
          <w:tcPr>
            <w:tcW w:w="386" w:type="pct"/>
            <w:shd w:val="clear" w:color="auto" w:fill="FFFFFF"/>
            <w:vAlign w:val="center"/>
          </w:tcPr>
          <w:p w14:paraId="5088799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554" w:type="pct"/>
            <w:shd w:val="clear" w:color="auto" w:fill="FFFFFF"/>
            <w:vAlign w:val="center"/>
          </w:tcPr>
          <w:p w14:paraId="1EAE886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-279.215</w:t>
            </w:r>
          </w:p>
        </w:tc>
        <w:tc>
          <w:tcPr>
            <w:tcW w:w="550" w:type="pct"/>
            <w:shd w:val="clear" w:color="auto" w:fill="FFFFFF"/>
            <w:vAlign w:val="center"/>
          </w:tcPr>
          <w:p w14:paraId="28B2ACE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-83.826</w:t>
            </w:r>
          </w:p>
        </w:tc>
      </w:tr>
      <w:tr w:rsidR="002C438C" w:rsidRPr="002C438C" w14:paraId="7565D4B5" w14:textId="77777777" w:rsidTr="002C438C">
        <w:trPr>
          <w:cantSplit/>
          <w:trHeight w:val="20"/>
          <w:jc w:val="center"/>
        </w:trPr>
        <w:tc>
          <w:tcPr>
            <w:tcW w:w="633" w:type="pct"/>
            <w:vMerge/>
            <w:shd w:val="clear" w:color="auto" w:fill="FFFFFF"/>
            <w:vAlign w:val="center"/>
          </w:tcPr>
          <w:p w14:paraId="193711A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val="restart"/>
            <w:shd w:val="clear" w:color="auto" w:fill="FFFFFF"/>
            <w:vAlign w:val="center"/>
          </w:tcPr>
          <w:p w14:paraId="70AC914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863" w:type="pct"/>
            <w:shd w:val="clear" w:color="auto" w:fill="FFFFFF"/>
            <w:vAlign w:val="center"/>
          </w:tcPr>
          <w:p w14:paraId="274E1C5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672" w:type="pct"/>
            <w:shd w:val="clear" w:color="auto" w:fill="FFFFFF"/>
            <w:vAlign w:val="center"/>
          </w:tcPr>
          <w:p w14:paraId="7AA1533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29.865</w:t>
            </w:r>
          </w:p>
        </w:tc>
        <w:tc>
          <w:tcPr>
            <w:tcW w:w="479" w:type="pct"/>
            <w:shd w:val="clear" w:color="auto" w:fill="FFFFFF"/>
            <w:vAlign w:val="center"/>
          </w:tcPr>
          <w:p w14:paraId="1A029EF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45.481</w:t>
            </w:r>
          </w:p>
        </w:tc>
        <w:tc>
          <w:tcPr>
            <w:tcW w:w="386" w:type="pct"/>
            <w:shd w:val="clear" w:color="auto" w:fill="FFFFFF"/>
            <w:vAlign w:val="center"/>
          </w:tcPr>
          <w:p w14:paraId="7198CA2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.789</w:t>
            </w:r>
          </w:p>
        </w:tc>
        <w:tc>
          <w:tcPr>
            <w:tcW w:w="554" w:type="pct"/>
            <w:shd w:val="clear" w:color="auto" w:fill="FFFFFF"/>
            <w:vAlign w:val="center"/>
          </w:tcPr>
          <w:p w14:paraId="0D915B3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-77.082</w:t>
            </w:r>
          </w:p>
        </w:tc>
        <w:tc>
          <w:tcPr>
            <w:tcW w:w="550" w:type="pct"/>
            <w:shd w:val="clear" w:color="auto" w:fill="FFFFFF"/>
            <w:vAlign w:val="center"/>
          </w:tcPr>
          <w:p w14:paraId="1C654DC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136.813</w:t>
            </w:r>
          </w:p>
        </w:tc>
      </w:tr>
      <w:tr w:rsidR="002C438C" w:rsidRPr="002C438C" w14:paraId="22A9BC54" w14:textId="77777777" w:rsidTr="002C438C">
        <w:trPr>
          <w:cantSplit/>
          <w:trHeight w:val="20"/>
          <w:jc w:val="center"/>
        </w:trPr>
        <w:tc>
          <w:tcPr>
            <w:tcW w:w="633" w:type="pct"/>
            <w:vMerge/>
            <w:shd w:val="clear" w:color="auto" w:fill="FFFFFF"/>
            <w:vAlign w:val="center"/>
          </w:tcPr>
          <w:p w14:paraId="5E9E28E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7493F73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6B7FD5E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Mature</w:t>
            </w:r>
          </w:p>
        </w:tc>
        <w:tc>
          <w:tcPr>
            <w:tcW w:w="672" w:type="pct"/>
            <w:shd w:val="clear" w:color="auto" w:fill="FFFFFF"/>
            <w:vAlign w:val="center"/>
          </w:tcPr>
          <w:p w14:paraId="223D6EA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-151.655</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29CB135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47.542</w:t>
            </w:r>
          </w:p>
        </w:tc>
        <w:tc>
          <w:tcPr>
            <w:tcW w:w="386" w:type="pct"/>
            <w:shd w:val="clear" w:color="auto" w:fill="FFFFFF"/>
            <w:vAlign w:val="center"/>
          </w:tcPr>
          <w:p w14:paraId="6EB221E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554" w:type="pct"/>
            <w:shd w:val="clear" w:color="auto" w:fill="FFFFFF"/>
            <w:vAlign w:val="center"/>
          </w:tcPr>
          <w:p w14:paraId="42CAD22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-263.451</w:t>
            </w:r>
          </w:p>
        </w:tc>
        <w:tc>
          <w:tcPr>
            <w:tcW w:w="550" w:type="pct"/>
            <w:shd w:val="clear" w:color="auto" w:fill="FFFFFF"/>
            <w:vAlign w:val="center"/>
          </w:tcPr>
          <w:p w14:paraId="79ED60D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-39.8592</w:t>
            </w:r>
          </w:p>
        </w:tc>
      </w:tr>
      <w:tr w:rsidR="002C438C" w:rsidRPr="002C438C" w14:paraId="3850B30A" w14:textId="77777777" w:rsidTr="002C438C">
        <w:trPr>
          <w:cantSplit/>
          <w:trHeight w:val="20"/>
          <w:jc w:val="center"/>
        </w:trPr>
        <w:tc>
          <w:tcPr>
            <w:tcW w:w="633" w:type="pct"/>
            <w:vMerge/>
            <w:shd w:val="clear" w:color="auto" w:fill="FFFFFF"/>
            <w:vAlign w:val="center"/>
          </w:tcPr>
          <w:p w14:paraId="64AAA54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val="restart"/>
            <w:shd w:val="clear" w:color="auto" w:fill="FFFFFF"/>
            <w:vAlign w:val="center"/>
          </w:tcPr>
          <w:p w14:paraId="0193689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863" w:type="pct"/>
            <w:shd w:val="clear" w:color="auto" w:fill="FFFFFF"/>
            <w:vAlign w:val="center"/>
          </w:tcPr>
          <w:p w14:paraId="0F1F390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Young</w:t>
            </w:r>
          </w:p>
        </w:tc>
        <w:tc>
          <w:tcPr>
            <w:tcW w:w="672" w:type="pct"/>
            <w:shd w:val="clear" w:color="auto" w:fill="FFFFFF"/>
            <w:vAlign w:val="center"/>
          </w:tcPr>
          <w:p w14:paraId="3BDA82E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181.521</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48DD9FD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41.545</w:t>
            </w:r>
          </w:p>
        </w:tc>
        <w:tc>
          <w:tcPr>
            <w:tcW w:w="386" w:type="pct"/>
            <w:shd w:val="clear" w:color="auto" w:fill="FFFFFF"/>
            <w:vAlign w:val="center"/>
          </w:tcPr>
          <w:p w14:paraId="7949E64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554" w:type="pct"/>
            <w:shd w:val="clear" w:color="auto" w:fill="FFFFFF"/>
            <w:vAlign w:val="center"/>
          </w:tcPr>
          <w:p w14:paraId="23131BB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83.826</w:t>
            </w:r>
          </w:p>
        </w:tc>
        <w:tc>
          <w:tcPr>
            <w:tcW w:w="550" w:type="pct"/>
            <w:shd w:val="clear" w:color="auto" w:fill="FFFFFF"/>
            <w:vAlign w:val="center"/>
          </w:tcPr>
          <w:p w14:paraId="2F1AF5B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279.215</w:t>
            </w:r>
          </w:p>
        </w:tc>
      </w:tr>
      <w:tr w:rsidR="002C438C" w:rsidRPr="002C438C" w14:paraId="0C0726E2" w14:textId="77777777" w:rsidTr="002C438C">
        <w:trPr>
          <w:cantSplit/>
          <w:trHeight w:val="20"/>
          <w:jc w:val="center"/>
        </w:trPr>
        <w:tc>
          <w:tcPr>
            <w:tcW w:w="633" w:type="pct"/>
            <w:vMerge/>
            <w:shd w:val="clear" w:color="auto" w:fill="FFFFFF"/>
            <w:vAlign w:val="center"/>
          </w:tcPr>
          <w:p w14:paraId="0AF1466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652680A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1121AEE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Developmental</w:t>
            </w:r>
          </w:p>
        </w:tc>
        <w:tc>
          <w:tcPr>
            <w:tcW w:w="672" w:type="pct"/>
            <w:shd w:val="clear" w:color="auto" w:fill="FFFFFF"/>
            <w:vAlign w:val="center"/>
          </w:tcPr>
          <w:p w14:paraId="54409F6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151.655</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4E2FFC1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47.542</w:t>
            </w:r>
          </w:p>
        </w:tc>
        <w:tc>
          <w:tcPr>
            <w:tcW w:w="386" w:type="pct"/>
            <w:shd w:val="clear" w:color="auto" w:fill="FFFFFF"/>
            <w:vAlign w:val="center"/>
          </w:tcPr>
          <w:p w14:paraId="21E62D9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554" w:type="pct"/>
            <w:shd w:val="clear" w:color="auto" w:fill="FFFFFF"/>
            <w:vAlign w:val="center"/>
          </w:tcPr>
          <w:p w14:paraId="166F8E5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39.859</w:t>
            </w:r>
          </w:p>
        </w:tc>
        <w:tc>
          <w:tcPr>
            <w:tcW w:w="550" w:type="pct"/>
            <w:shd w:val="clear" w:color="auto" w:fill="FFFFFF"/>
            <w:vAlign w:val="center"/>
          </w:tcPr>
          <w:p w14:paraId="50B35D1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263.451</w:t>
            </w:r>
          </w:p>
        </w:tc>
      </w:tr>
      <w:tr w:rsidR="002C438C" w:rsidRPr="002C438C" w14:paraId="48139587" w14:textId="77777777" w:rsidTr="002C438C">
        <w:trPr>
          <w:cantSplit/>
          <w:trHeight w:val="20"/>
          <w:jc w:val="center"/>
        </w:trPr>
        <w:tc>
          <w:tcPr>
            <w:tcW w:w="633" w:type="pct"/>
            <w:vMerge w:val="restart"/>
            <w:shd w:val="clear" w:color="auto" w:fill="FFFFFF"/>
            <w:vAlign w:val="center"/>
          </w:tcPr>
          <w:p w14:paraId="096B525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Relational Capital</w:t>
            </w:r>
          </w:p>
        </w:tc>
        <w:tc>
          <w:tcPr>
            <w:tcW w:w="864" w:type="pct"/>
            <w:vMerge w:val="restart"/>
            <w:shd w:val="clear" w:color="auto" w:fill="FFFFFF"/>
            <w:vAlign w:val="center"/>
          </w:tcPr>
          <w:p w14:paraId="7541B95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863" w:type="pct"/>
            <w:shd w:val="clear" w:color="auto" w:fill="FFFFFF"/>
            <w:vAlign w:val="center"/>
          </w:tcPr>
          <w:p w14:paraId="756FA56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672" w:type="pct"/>
            <w:shd w:val="clear" w:color="auto" w:fill="FFFFFF"/>
            <w:vAlign w:val="center"/>
          </w:tcPr>
          <w:p w14:paraId="572A459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-212.841</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0BBCFA4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65.596</w:t>
            </w:r>
          </w:p>
        </w:tc>
        <w:tc>
          <w:tcPr>
            <w:tcW w:w="386" w:type="pct"/>
            <w:shd w:val="clear" w:color="auto" w:fill="FFFFFF"/>
            <w:vAlign w:val="center"/>
          </w:tcPr>
          <w:p w14:paraId="6BDABE7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554" w:type="pct"/>
            <w:shd w:val="clear" w:color="auto" w:fill="FFFFFF"/>
            <w:vAlign w:val="center"/>
          </w:tcPr>
          <w:p w14:paraId="41C92C4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-367.091</w:t>
            </w:r>
          </w:p>
        </w:tc>
        <w:tc>
          <w:tcPr>
            <w:tcW w:w="550" w:type="pct"/>
            <w:shd w:val="clear" w:color="auto" w:fill="FFFFFF"/>
            <w:vAlign w:val="center"/>
          </w:tcPr>
          <w:p w14:paraId="5DB3716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-58.5923</w:t>
            </w:r>
          </w:p>
        </w:tc>
      </w:tr>
      <w:tr w:rsidR="002C438C" w:rsidRPr="002C438C" w14:paraId="109EDC90" w14:textId="77777777" w:rsidTr="002C438C">
        <w:trPr>
          <w:cantSplit/>
          <w:trHeight w:val="20"/>
          <w:jc w:val="center"/>
        </w:trPr>
        <w:tc>
          <w:tcPr>
            <w:tcW w:w="633" w:type="pct"/>
            <w:vMerge/>
            <w:shd w:val="clear" w:color="auto" w:fill="FFFFFF"/>
            <w:vAlign w:val="center"/>
          </w:tcPr>
          <w:p w14:paraId="325C2C9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152780D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27856AE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672" w:type="pct"/>
            <w:shd w:val="clear" w:color="auto" w:fill="FFFFFF"/>
            <w:vAlign w:val="center"/>
          </w:tcPr>
          <w:p w14:paraId="4461FFD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40.165</w:t>
            </w:r>
          </w:p>
        </w:tc>
        <w:tc>
          <w:tcPr>
            <w:tcW w:w="479" w:type="pct"/>
            <w:shd w:val="clear" w:color="auto" w:fill="FFFFFF"/>
            <w:vAlign w:val="center"/>
          </w:tcPr>
          <w:p w14:paraId="7EA1E87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59.921</w:t>
            </w:r>
          </w:p>
        </w:tc>
        <w:tc>
          <w:tcPr>
            <w:tcW w:w="386" w:type="pct"/>
            <w:shd w:val="clear" w:color="auto" w:fill="FFFFFF"/>
            <w:vAlign w:val="center"/>
          </w:tcPr>
          <w:p w14:paraId="245F66D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.781</w:t>
            </w:r>
          </w:p>
        </w:tc>
        <w:tc>
          <w:tcPr>
            <w:tcW w:w="554" w:type="pct"/>
            <w:shd w:val="clear" w:color="auto" w:fill="FFFFFF"/>
            <w:vAlign w:val="center"/>
          </w:tcPr>
          <w:p w14:paraId="7AF8D84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-100.737</w:t>
            </w:r>
          </w:p>
        </w:tc>
        <w:tc>
          <w:tcPr>
            <w:tcW w:w="550" w:type="pct"/>
            <w:shd w:val="clear" w:color="auto" w:fill="FFFFFF"/>
            <w:vAlign w:val="center"/>
          </w:tcPr>
          <w:p w14:paraId="378F543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181.069</w:t>
            </w:r>
          </w:p>
        </w:tc>
      </w:tr>
      <w:tr w:rsidR="002C438C" w:rsidRPr="002C438C" w14:paraId="595A5C9D" w14:textId="77777777" w:rsidTr="002C438C">
        <w:trPr>
          <w:cantSplit/>
          <w:trHeight w:val="20"/>
          <w:jc w:val="center"/>
        </w:trPr>
        <w:tc>
          <w:tcPr>
            <w:tcW w:w="633" w:type="pct"/>
            <w:vMerge/>
            <w:shd w:val="clear" w:color="auto" w:fill="FFFFFF"/>
            <w:vAlign w:val="center"/>
          </w:tcPr>
          <w:p w14:paraId="3980293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val="restart"/>
            <w:shd w:val="clear" w:color="auto" w:fill="FFFFFF"/>
            <w:vAlign w:val="center"/>
          </w:tcPr>
          <w:p w14:paraId="04BA504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863" w:type="pct"/>
            <w:shd w:val="clear" w:color="auto" w:fill="FFFFFF"/>
            <w:vAlign w:val="center"/>
          </w:tcPr>
          <w:p w14:paraId="7AA705E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672" w:type="pct"/>
            <w:shd w:val="clear" w:color="auto" w:fill="FFFFFF"/>
            <w:vAlign w:val="center"/>
          </w:tcPr>
          <w:p w14:paraId="7499E1F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212.841</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4E7E3DA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65.596</w:t>
            </w:r>
          </w:p>
        </w:tc>
        <w:tc>
          <w:tcPr>
            <w:tcW w:w="386" w:type="pct"/>
            <w:shd w:val="clear" w:color="auto" w:fill="FFFFFF"/>
            <w:vAlign w:val="center"/>
          </w:tcPr>
          <w:p w14:paraId="5C10452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554" w:type="pct"/>
            <w:shd w:val="clear" w:color="auto" w:fill="FFFFFF"/>
            <w:vAlign w:val="center"/>
          </w:tcPr>
          <w:p w14:paraId="7739AAF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58.592</w:t>
            </w:r>
          </w:p>
        </w:tc>
        <w:tc>
          <w:tcPr>
            <w:tcW w:w="550" w:type="pct"/>
            <w:shd w:val="clear" w:color="auto" w:fill="FFFFFF"/>
            <w:vAlign w:val="center"/>
          </w:tcPr>
          <w:p w14:paraId="7A603EE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367.091</w:t>
            </w:r>
          </w:p>
        </w:tc>
      </w:tr>
      <w:tr w:rsidR="002C438C" w:rsidRPr="002C438C" w14:paraId="15E68413" w14:textId="77777777" w:rsidTr="002C438C">
        <w:trPr>
          <w:cantSplit/>
          <w:trHeight w:val="20"/>
          <w:jc w:val="center"/>
        </w:trPr>
        <w:tc>
          <w:tcPr>
            <w:tcW w:w="633" w:type="pct"/>
            <w:vMerge/>
            <w:shd w:val="clear" w:color="auto" w:fill="FFFFFF"/>
            <w:vAlign w:val="center"/>
          </w:tcPr>
          <w:p w14:paraId="7A9FE97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63CD8DA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5FBFCAF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672" w:type="pct"/>
            <w:shd w:val="clear" w:color="auto" w:fill="FFFFFF"/>
            <w:vAlign w:val="center"/>
          </w:tcPr>
          <w:p w14:paraId="5BDAE96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253.007</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783A108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68.570</w:t>
            </w:r>
          </w:p>
        </w:tc>
        <w:tc>
          <w:tcPr>
            <w:tcW w:w="386" w:type="pct"/>
            <w:shd w:val="clear" w:color="auto" w:fill="FFFFFF"/>
            <w:vAlign w:val="center"/>
          </w:tcPr>
          <w:p w14:paraId="6698F6A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554" w:type="pct"/>
            <w:shd w:val="clear" w:color="auto" w:fill="FFFFFF"/>
            <w:vAlign w:val="center"/>
          </w:tcPr>
          <w:p w14:paraId="153AC52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91.765</w:t>
            </w:r>
          </w:p>
        </w:tc>
        <w:tc>
          <w:tcPr>
            <w:tcW w:w="550" w:type="pct"/>
            <w:shd w:val="clear" w:color="auto" w:fill="FFFFFF"/>
            <w:vAlign w:val="center"/>
          </w:tcPr>
          <w:p w14:paraId="0AA9246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414.249</w:t>
            </w:r>
          </w:p>
        </w:tc>
      </w:tr>
      <w:tr w:rsidR="002C438C" w:rsidRPr="002C438C" w14:paraId="4955360E" w14:textId="77777777" w:rsidTr="002C438C">
        <w:trPr>
          <w:cantSplit/>
          <w:trHeight w:val="20"/>
          <w:jc w:val="center"/>
        </w:trPr>
        <w:tc>
          <w:tcPr>
            <w:tcW w:w="633" w:type="pct"/>
            <w:vMerge/>
            <w:shd w:val="clear" w:color="auto" w:fill="FFFFFF"/>
            <w:vAlign w:val="center"/>
          </w:tcPr>
          <w:p w14:paraId="47657BA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val="restart"/>
            <w:shd w:val="clear" w:color="auto" w:fill="FFFFFF"/>
            <w:vAlign w:val="center"/>
          </w:tcPr>
          <w:p w14:paraId="1B45C30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863" w:type="pct"/>
            <w:shd w:val="clear" w:color="auto" w:fill="FFFFFF"/>
            <w:vAlign w:val="center"/>
          </w:tcPr>
          <w:p w14:paraId="5E58E6E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672" w:type="pct"/>
            <w:shd w:val="clear" w:color="auto" w:fill="FFFFFF"/>
            <w:vAlign w:val="center"/>
          </w:tcPr>
          <w:p w14:paraId="139FC8B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-40.165</w:t>
            </w:r>
          </w:p>
        </w:tc>
        <w:tc>
          <w:tcPr>
            <w:tcW w:w="479" w:type="pct"/>
            <w:shd w:val="clear" w:color="auto" w:fill="FFFFFF"/>
            <w:vAlign w:val="center"/>
          </w:tcPr>
          <w:p w14:paraId="73E424A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59.921</w:t>
            </w:r>
          </w:p>
        </w:tc>
        <w:tc>
          <w:tcPr>
            <w:tcW w:w="386" w:type="pct"/>
            <w:shd w:val="clear" w:color="auto" w:fill="FFFFFF"/>
            <w:vAlign w:val="center"/>
          </w:tcPr>
          <w:p w14:paraId="125E93B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.781</w:t>
            </w:r>
          </w:p>
        </w:tc>
        <w:tc>
          <w:tcPr>
            <w:tcW w:w="554" w:type="pct"/>
            <w:shd w:val="clear" w:color="auto" w:fill="FFFFFF"/>
            <w:vAlign w:val="center"/>
          </w:tcPr>
          <w:p w14:paraId="5155181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-181.069</w:t>
            </w:r>
          </w:p>
        </w:tc>
        <w:tc>
          <w:tcPr>
            <w:tcW w:w="550" w:type="pct"/>
            <w:shd w:val="clear" w:color="auto" w:fill="FFFFFF"/>
            <w:vAlign w:val="center"/>
          </w:tcPr>
          <w:p w14:paraId="4888F61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100.737</w:t>
            </w:r>
          </w:p>
        </w:tc>
      </w:tr>
      <w:tr w:rsidR="002C438C" w:rsidRPr="002C438C" w14:paraId="65A29C17" w14:textId="77777777" w:rsidTr="002C438C">
        <w:trPr>
          <w:cantSplit/>
          <w:trHeight w:val="20"/>
          <w:jc w:val="center"/>
        </w:trPr>
        <w:tc>
          <w:tcPr>
            <w:tcW w:w="633" w:type="pct"/>
            <w:vMerge/>
            <w:shd w:val="clear" w:color="auto" w:fill="FFFFFF"/>
            <w:vAlign w:val="center"/>
          </w:tcPr>
          <w:p w14:paraId="65079A4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6FB6F59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58F9044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672" w:type="pct"/>
            <w:shd w:val="clear" w:color="auto" w:fill="FFFFFF"/>
            <w:vAlign w:val="center"/>
          </w:tcPr>
          <w:p w14:paraId="642661B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-253.007</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2F7FE40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68.570</w:t>
            </w:r>
          </w:p>
        </w:tc>
        <w:tc>
          <w:tcPr>
            <w:tcW w:w="386" w:type="pct"/>
            <w:shd w:val="clear" w:color="auto" w:fill="FFFFFF"/>
            <w:vAlign w:val="center"/>
          </w:tcPr>
          <w:p w14:paraId="585CAB8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554" w:type="pct"/>
            <w:shd w:val="clear" w:color="auto" w:fill="FFFFFF"/>
            <w:vAlign w:val="center"/>
          </w:tcPr>
          <w:p w14:paraId="762C331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-414.249</w:t>
            </w:r>
          </w:p>
        </w:tc>
        <w:tc>
          <w:tcPr>
            <w:tcW w:w="550" w:type="pct"/>
            <w:shd w:val="clear" w:color="auto" w:fill="FFFFFF"/>
            <w:vAlign w:val="center"/>
          </w:tcPr>
          <w:p w14:paraId="18B151F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-91.765</w:t>
            </w:r>
          </w:p>
        </w:tc>
      </w:tr>
      <w:tr w:rsidR="002C438C" w:rsidRPr="002C438C" w14:paraId="3B2F4A95" w14:textId="77777777" w:rsidTr="002C438C">
        <w:trPr>
          <w:cantSplit/>
          <w:trHeight w:val="20"/>
          <w:jc w:val="center"/>
        </w:trPr>
        <w:tc>
          <w:tcPr>
            <w:tcW w:w="633" w:type="pct"/>
            <w:vMerge w:val="restart"/>
            <w:shd w:val="clear" w:color="auto" w:fill="FFFFFF"/>
            <w:vAlign w:val="center"/>
          </w:tcPr>
          <w:p w14:paraId="2A4B080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Structural Capital</w:t>
            </w:r>
          </w:p>
        </w:tc>
        <w:tc>
          <w:tcPr>
            <w:tcW w:w="864" w:type="pct"/>
            <w:vMerge w:val="restart"/>
            <w:shd w:val="clear" w:color="auto" w:fill="FFFFFF"/>
            <w:vAlign w:val="center"/>
          </w:tcPr>
          <w:p w14:paraId="1B7EEC8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863" w:type="pct"/>
            <w:shd w:val="clear" w:color="auto" w:fill="FFFFFF"/>
            <w:vAlign w:val="center"/>
          </w:tcPr>
          <w:p w14:paraId="6F459D0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672" w:type="pct"/>
            <w:shd w:val="clear" w:color="auto" w:fill="FFFFFF"/>
            <w:vAlign w:val="center"/>
          </w:tcPr>
          <w:p w14:paraId="5CA73F5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-10.536</w:t>
            </w:r>
          </w:p>
        </w:tc>
        <w:tc>
          <w:tcPr>
            <w:tcW w:w="479" w:type="pct"/>
            <w:shd w:val="clear" w:color="auto" w:fill="FFFFFF"/>
            <w:vAlign w:val="center"/>
          </w:tcPr>
          <w:p w14:paraId="1736907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77.405</w:t>
            </w:r>
          </w:p>
        </w:tc>
        <w:tc>
          <w:tcPr>
            <w:tcW w:w="386" w:type="pct"/>
            <w:shd w:val="clear" w:color="auto" w:fill="FFFFFF"/>
            <w:vAlign w:val="center"/>
          </w:tcPr>
          <w:p w14:paraId="2350786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.990</w:t>
            </w:r>
          </w:p>
        </w:tc>
        <w:tc>
          <w:tcPr>
            <w:tcW w:w="554" w:type="pct"/>
            <w:shd w:val="clear" w:color="auto" w:fill="FFFFFF"/>
            <w:vAlign w:val="center"/>
          </w:tcPr>
          <w:p w14:paraId="6128AF9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-192.554</w:t>
            </w:r>
          </w:p>
        </w:tc>
        <w:tc>
          <w:tcPr>
            <w:tcW w:w="550" w:type="pct"/>
            <w:shd w:val="clear" w:color="auto" w:fill="FFFFFF"/>
            <w:vAlign w:val="center"/>
          </w:tcPr>
          <w:p w14:paraId="70E5CE7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171.480</w:t>
            </w:r>
          </w:p>
        </w:tc>
      </w:tr>
      <w:tr w:rsidR="002C438C" w:rsidRPr="002C438C" w14:paraId="0DB85973" w14:textId="77777777" w:rsidTr="002C438C">
        <w:trPr>
          <w:cantSplit/>
          <w:trHeight w:val="20"/>
          <w:jc w:val="center"/>
        </w:trPr>
        <w:tc>
          <w:tcPr>
            <w:tcW w:w="633" w:type="pct"/>
            <w:vMerge/>
            <w:shd w:val="clear" w:color="auto" w:fill="FFFFFF"/>
            <w:vAlign w:val="center"/>
          </w:tcPr>
          <w:p w14:paraId="204D006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451489A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3FF2255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672" w:type="pct"/>
            <w:shd w:val="clear" w:color="auto" w:fill="FFFFFF"/>
            <w:vAlign w:val="center"/>
          </w:tcPr>
          <w:p w14:paraId="478F214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-224.890</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58FC236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70.708</w:t>
            </w:r>
          </w:p>
        </w:tc>
        <w:tc>
          <w:tcPr>
            <w:tcW w:w="386" w:type="pct"/>
            <w:shd w:val="clear" w:color="auto" w:fill="FFFFFF"/>
            <w:vAlign w:val="center"/>
          </w:tcPr>
          <w:p w14:paraId="5BE7810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554" w:type="pct"/>
            <w:shd w:val="clear" w:color="auto" w:fill="FFFFFF"/>
            <w:vAlign w:val="center"/>
          </w:tcPr>
          <w:p w14:paraId="5B4EF75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-391.159</w:t>
            </w:r>
          </w:p>
        </w:tc>
        <w:tc>
          <w:tcPr>
            <w:tcW w:w="550" w:type="pct"/>
            <w:shd w:val="clear" w:color="auto" w:fill="FFFFFF"/>
            <w:vAlign w:val="center"/>
          </w:tcPr>
          <w:p w14:paraId="7F7384B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-58.622</w:t>
            </w:r>
          </w:p>
        </w:tc>
      </w:tr>
      <w:tr w:rsidR="002C438C" w:rsidRPr="002C438C" w14:paraId="0A215156" w14:textId="77777777" w:rsidTr="002C438C">
        <w:trPr>
          <w:cantSplit/>
          <w:trHeight w:val="20"/>
          <w:jc w:val="center"/>
        </w:trPr>
        <w:tc>
          <w:tcPr>
            <w:tcW w:w="633" w:type="pct"/>
            <w:vMerge/>
            <w:shd w:val="clear" w:color="auto" w:fill="FFFFFF"/>
            <w:vAlign w:val="center"/>
          </w:tcPr>
          <w:p w14:paraId="744C3DF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val="restart"/>
            <w:shd w:val="clear" w:color="auto" w:fill="FFFFFF"/>
            <w:vAlign w:val="center"/>
          </w:tcPr>
          <w:p w14:paraId="2BF1CE2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863" w:type="pct"/>
            <w:shd w:val="clear" w:color="auto" w:fill="FFFFFF"/>
            <w:vAlign w:val="center"/>
          </w:tcPr>
          <w:p w14:paraId="767E623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672" w:type="pct"/>
            <w:shd w:val="clear" w:color="auto" w:fill="FFFFFF"/>
            <w:vAlign w:val="center"/>
          </w:tcPr>
          <w:p w14:paraId="698BC79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10.536</w:t>
            </w:r>
          </w:p>
        </w:tc>
        <w:tc>
          <w:tcPr>
            <w:tcW w:w="479" w:type="pct"/>
            <w:shd w:val="clear" w:color="auto" w:fill="FFFFFF"/>
            <w:vAlign w:val="center"/>
          </w:tcPr>
          <w:p w14:paraId="327457B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77.405</w:t>
            </w:r>
          </w:p>
        </w:tc>
        <w:tc>
          <w:tcPr>
            <w:tcW w:w="386" w:type="pct"/>
            <w:shd w:val="clear" w:color="auto" w:fill="FFFFFF"/>
            <w:vAlign w:val="center"/>
          </w:tcPr>
          <w:p w14:paraId="34554D3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.990</w:t>
            </w:r>
          </w:p>
        </w:tc>
        <w:tc>
          <w:tcPr>
            <w:tcW w:w="554" w:type="pct"/>
            <w:shd w:val="clear" w:color="auto" w:fill="FFFFFF"/>
            <w:vAlign w:val="center"/>
          </w:tcPr>
          <w:p w14:paraId="477EF82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-171.480</w:t>
            </w:r>
          </w:p>
        </w:tc>
        <w:tc>
          <w:tcPr>
            <w:tcW w:w="550" w:type="pct"/>
            <w:shd w:val="clear" w:color="auto" w:fill="FFFFFF"/>
            <w:vAlign w:val="center"/>
          </w:tcPr>
          <w:p w14:paraId="6D023E6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192.554</w:t>
            </w:r>
          </w:p>
        </w:tc>
      </w:tr>
      <w:tr w:rsidR="002C438C" w:rsidRPr="002C438C" w14:paraId="45F50AF2" w14:textId="77777777" w:rsidTr="002C438C">
        <w:trPr>
          <w:cantSplit/>
          <w:trHeight w:val="20"/>
          <w:jc w:val="center"/>
        </w:trPr>
        <w:tc>
          <w:tcPr>
            <w:tcW w:w="633" w:type="pct"/>
            <w:vMerge/>
            <w:shd w:val="clear" w:color="auto" w:fill="FFFFFF"/>
            <w:vAlign w:val="center"/>
          </w:tcPr>
          <w:p w14:paraId="3B3A083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3C59F3C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61E921C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672" w:type="pct"/>
            <w:shd w:val="clear" w:color="auto" w:fill="FFFFFF"/>
            <w:vAlign w:val="center"/>
          </w:tcPr>
          <w:p w14:paraId="47C1DA5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-214.353</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72E2DA0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80.914</w:t>
            </w:r>
          </w:p>
        </w:tc>
        <w:tc>
          <w:tcPr>
            <w:tcW w:w="386" w:type="pct"/>
            <w:shd w:val="clear" w:color="auto" w:fill="FFFFFF"/>
            <w:vAlign w:val="center"/>
          </w:tcPr>
          <w:p w14:paraId="03D434B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.023</w:t>
            </w:r>
          </w:p>
        </w:tc>
        <w:tc>
          <w:tcPr>
            <w:tcW w:w="554" w:type="pct"/>
            <w:shd w:val="clear" w:color="auto" w:fill="FFFFFF"/>
            <w:vAlign w:val="center"/>
          </w:tcPr>
          <w:p w14:paraId="7EF7EEA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-404.622</w:t>
            </w:r>
          </w:p>
        </w:tc>
        <w:tc>
          <w:tcPr>
            <w:tcW w:w="550" w:type="pct"/>
            <w:shd w:val="clear" w:color="auto" w:fill="FFFFFF"/>
            <w:vAlign w:val="center"/>
          </w:tcPr>
          <w:p w14:paraId="088A8AA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-24.085</w:t>
            </w:r>
          </w:p>
        </w:tc>
      </w:tr>
      <w:tr w:rsidR="002C438C" w:rsidRPr="002C438C" w14:paraId="14F6E2F9" w14:textId="77777777" w:rsidTr="002C438C">
        <w:trPr>
          <w:cantSplit/>
          <w:trHeight w:val="20"/>
          <w:jc w:val="center"/>
        </w:trPr>
        <w:tc>
          <w:tcPr>
            <w:tcW w:w="633" w:type="pct"/>
            <w:vMerge/>
            <w:shd w:val="clear" w:color="auto" w:fill="FFFFFF"/>
            <w:vAlign w:val="center"/>
          </w:tcPr>
          <w:p w14:paraId="64B1B23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val="restart"/>
            <w:shd w:val="clear" w:color="auto" w:fill="FFFFFF"/>
            <w:vAlign w:val="center"/>
          </w:tcPr>
          <w:p w14:paraId="100DD83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Mature </w:t>
            </w:r>
          </w:p>
        </w:tc>
        <w:tc>
          <w:tcPr>
            <w:tcW w:w="863" w:type="pct"/>
            <w:shd w:val="clear" w:color="auto" w:fill="FFFFFF"/>
            <w:vAlign w:val="center"/>
          </w:tcPr>
          <w:p w14:paraId="7E2BBA3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Young </w:t>
            </w:r>
          </w:p>
        </w:tc>
        <w:tc>
          <w:tcPr>
            <w:tcW w:w="672" w:type="pct"/>
            <w:shd w:val="clear" w:color="auto" w:fill="FFFFFF"/>
            <w:vAlign w:val="center"/>
          </w:tcPr>
          <w:p w14:paraId="6E930DA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224.890</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1A803C8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70.708</w:t>
            </w:r>
          </w:p>
        </w:tc>
        <w:tc>
          <w:tcPr>
            <w:tcW w:w="386" w:type="pct"/>
            <w:shd w:val="clear" w:color="auto" w:fill="FFFFFF"/>
            <w:vAlign w:val="center"/>
          </w:tcPr>
          <w:p w14:paraId="449FC88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554" w:type="pct"/>
            <w:shd w:val="clear" w:color="auto" w:fill="FFFFFF"/>
            <w:vAlign w:val="center"/>
          </w:tcPr>
          <w:p w14:paraId="40DDFFE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58.622</w:t>
            </w:r>
          </w:p>
        </w:tc>
        <w:tc>
          <w:tcPr>
            <w:tcW w:w="550" w:type="pct"/>
            <w:shd w:val="clear" w:color="auto" w:fill="FFFFFF"/>
            <w:vAlign w:val="center"/>
          </w:tcPr>
          <w:p w14:paraId="1FAEEE4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391.159</w:t>
            </w:r>
          </w:p>
        </w:tc>
      </w:tr>
      <w:tr w:rsidR="002C438C" w:rsidRPr="002C438C" w14:paraId="0A73B88B" w14:textId="77777777" w:rsidTr="002C438C">
        <w:trPr>
          <w:cantSplit/>
          <w:trHeight w:val="20"/>
          <w:jc w:val="center"/>
        </w:trPr>
        <w:tc>
          <w:tcPr>
            <w:tcW w:w="633" w:type="pct"/>
            <w:vMerge/>
            <w:shd w:val="clear" w:color="auto" w:fill="FFFFFF"/>
            <w:vAlign w:val="center"/>
          </w:tcPr>
          <w:p w14:paraId="5E6E162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4" w:type="pct"/>
            <w:vMerge/>
            <w:shd w:val="clear" w:color="auto" w:fill="FFFFFF"/>
            <w:vAlign w:val="center"/>
          </w:tcPr>
          <w:p w14:paraId="405438F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863" w:type="pct"/>
            <w:shd w:val="clear" w:color="auto" w:fill="FFFFFF"/>
            <w:vAlign w:val="center"/>
          </w:tcPr>
          <w:p w14:paraId="7A197BE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 xml:space="preserve">Developmental </w:t>
            </w:r>
          </w:p>
        </w:tc>
        <w:tc>
          <w:tcPr>
            <w:tcW w:w="672" w:type="pct"/>
            <w:shd w:val="clear" w:color="auto" w:fill="FFFFFF"/>
            <w:vAlign w:val="center"/>
          </w:tcPr>
          <w:p w14:paraId="3EB2F42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214.353</w:t>
            </w:r>
            <w:r w:rsidRPr="002C438C">
              <w:rPr>
                <w:rFonts w:ascii="Times New Roman" w:hAnsi="Times New Roman" w:cs="Times New Roman"/>
                <w:color w:val="000000"/>
                <w:sz w:val="20"/>
                <w:vertAlign w:val="superscript"/>
              </w:rPr>
              <w:t>*</w:t>
            </w:r>
          </w:p>
        </w:tc>
        <w:tc>
          <w:tcPr>
            <w:tcW w:w="479" w:type="pct"/>
            <w:shd w:val="clear" w:color="auto" w:fill="FFFFFF"/>
            <w:vAlign w:val="center"/>
          </w:tcPr>
          <w:p w14:paraId="724E697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80.914</w:t>
            </w:r>
          </w:p>
        </w:tc>
        <w:tc>
          <w:tcPr>
            <w:tcW w:w="386" w:type="pct"/>
            <w:shd w:val="clear" w:color="auto" w:fill="FFFFFF"/>
            <w:vAlign w:val="center"/>
          </w:tcPr>
          <w:p w14:paraId="453000F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.023</w:t>
            </w:r>
          </w:p>
        </w:tc>
        <w:tc>
          <w:tcPr>
            <w:tcW w:w="554" w:type="pct"/>
            <w:shd w:val="clear" w:color="auto" w:fill="FFFFFF"/>
            <w:vAlign w:val="center"/>
          </w:tcPr>
          <w:p w14:paraId="5DA314A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24.085</w:t>
            </w:r>
          </w:p>
        </w:tc>
        <w:tc>
          <w:tcPr>
            <w:tcW w:w="550" w:type="pct"/>
            <w:shd w:val="clear" w:color="auto" w:fill="FFFFFF"/>
            <w:vAlign w:val="center"/>
          </w:tcPr>
          <w:p w14:paraId="545CE2C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404.622</w:t>
            </w:r>
          </w:p>
        </w:tc>
      </w:tr>
      <w:tr w:rsidR="002C438C" w:rsidRPr="002C438C" w14:paraId="5D84F4F6" w14:textId="77777777" w:rsidTr="002C438C">
        <w:trPr>
          <w:cantSplit/>
          <w:trHeight w:val="20"/>
          <w:jc w:val="center"/>
        </w:trPr>
        <w:tc>
          <w:tcPr>
            <w:tcW w:w="5000" w:type="pct"/>
            <w:gridSpan w:val="8"/>
            <w:shd w:val="clear" w:color="auto" w:fill="FFFFFF"/>
            <w:vAlign w:val="center"/>
          </w:tcPr>
          <w:p w14:paraId="147B695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 The mean difference is significant at the 0.05 level.</w:t>
            </w:r>
          </w:p>
        </w:tc>
      </w:tr>
    </w:tbl>
    <w:p w14:paraId="50B670B6" w14:textId="77777777"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rPr>
        <w:t xml:space="preserve">Given these differences, the GEE analysis is performed at the level of each category of restaurant </w:t>
      </w:r>
      <w:proofErr w:type="gramStart"/>
      <w:r w:rsidRPr="002C438C">
        <w:rPr>
          <w:rFonts w:ascii="Times New Roman" w:hAnsi="Times New Roman" w:cs="Times New Roman"/>
        </w:rPr>
        <w:t>in order to</w:t>
      </w:r>
      <w:proofErr w:type="gramEnd"/>
      <w:r w:rsidRPr="002C438C">
        <w:rPr>
          <w:rFonts w:ascii="Times New Roman" w:hAnsi="Times New Roman" w:cs="Times New Roman"/>
        </w:rPr>
        <w:t xml:space="preserve"> determine the effect of IC dimensions on restaurants’ economic behavior. </w:t>
      </w:r>
    </w:p>
    <w:p w14:paraId="020ECCD0" w14:textId="79DACDA6"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b/>
          <w:bCs/>
        </w:rPr>
        <w:t xml:space="preserve">4.2.1. Strategies </w:t>
      </w:r>
      <w:proofErr w:type="gramStart"/>
      <w:r w:rsidRPr="002C438C">
        <w:rPr>
          <w:rFonts w:ascii="Times New Roman" w:hAnsi="Times New Roman" w:cs="Times New Roman"/>
          <w:b/>
          <w:bCs/>
        </w:rPr>
        <w:t>of</w:t>
      </w:r>
      <w:proofErr w:type="gramEnd"/>
      <w:r w:rsidRPr="002C438C">
        <w:rPr>
          <w:rFonts w:ascii="Times New Roman" w:hAnsi="Times New Roman" w:cs="Times New Roman"/>
          <w:b/>
          <w:bCs/>
        </w:rPr>
        <w:t xml:space="preserve"> Young Restaurants</w:t>
      </w:r>
    </w:p>
    <w:p w14:paraId="0CD4011C" w14:textId="77777777" w:rsidR="002C438C" w:rsidRPr="002C438C"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rPr>
        <w:t xml:space="preserve">Young restaurants’ behavior during their transition to Industry 5.0 (Table 4) is strongly influenced by human capital (ß=0.986, p=0.000 &lt; 0.001) and relational capital (ß=0.011, p=0.020 &lt; 0.05). The odds ratio for human capital, Exp(B)=2.680, indicates that for every one-unit increase, the odds of a young restaurant adopting an adaptive strategy during the transition to Industry 5.0 increase by 168%. Additionally, for every one-unit increase in relational capital, the odds of adaptation increase by 1.1% (Exp(B)=1.011). This finding for relational capital indicates that young restaurants experiencing higher revenue growth are slightly more likely to adapt. This </w:t>
      </w:r>
      <w:proofErr w:type="gramStart"/>
      <w:r w:rsidRPr="002C438C">
        <w:rPr>
          <w:rFonts w:ascii="Times New Roman" w:hAnsi="Times New Roman" w:cs="Times New Roman"/>
        </w:rPr>
        <w:t>likely reflects</w:t>
      </w:r>
      <w:proofErr w:type="gramEnd"/>
      <w:r w:rsidRPr="002C438C">
        <w:rPr>
          <w:rFonts w:ascii="Times New Roman" w:hAnsi="Times New Roman" w:cs="Times New Roman"/>
        </w:rPr>
        <w:t xml:space="preserve"> a virtuous cycle where successful </w:t>
      </w:r>
      <w:r w:rsidRPr="002C438C">
        <w:rPr>
          <w:rFonts w:ascii="Times New Roman" w:hAnsi="Times New Roman" w:cs="Times New Roman"/>
        </w:rPr>
        <w:lastRenderedPageBreak/>
        <w:t>firms have more resources and confidence for further innovation, or that early adopters of adaptive strategies are rewarded with growth.</w:t>
      </w:r>
    </w:p>
    <w:p w14:paraId="3C3B55D5" w14:textId="77777777"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rPr>
        <w:t>Against this background, the economic behavior of the young restaurants (RB</w:t>
      </w:r>
      <w:r w:rsidRPr="002C438C">
        <w:rPr>
          <w:rFonts w:ascii="Times New Roman" w:hAnsi="Times New Roman" w:cs="Times New Roman"/>
          <w:vertAlign w:val="subscript"/>
        </w:rPr>
        <w:t>Y</w:t>
      </w:r>
      <w:r w:rsidRPr="002C438C">
        <w:rPr>
          <w:rFonts w:ascii="Times New Roman" w:hAnsi="Times New Roman" w:cs="Times New Roman"/>
        </w:rPr>
        <w:t>) can be predicted based on the following relation:</w:t>
      </w:r>
    </w:p>
    <w:p w14:paraId="4B58A1DD" w14:textId="77777777" w:rsidR="002C438C" w:rsidRPr="002C438C" w:rsidRDefault="002C438C" w:rsidP="002C438C">
      <w:pPr>
        <w:shd w:val="clear" w:color="auto" w:fill="FFFFFF"/>
        <w:ind w:left="1985" w:hanging="1985"/>
        <w:rPr>
          <w:rFonts w:ascii="Times New Roman" w:hAnsi="Times New Roman" w:cs="Times New Roman"/>
        </w:rPr>
      </w:pPr>
      <m:oMath>
        <m:r>
          <w:rPr>
            <w:rFonts w:ascii="Times New Roman" w:hAnsi="Times New Roman" w:cs="Times New Roman"/>
          </w:rPr>
          <m:t>Log-odds</m:t>
        </m:r>
        <m:d>
          <m:dPr>
            <m:ctrlPr>
              <w:rPr>
                <w:rFonts w:ascii="Times New Roman" w:hAnsi="Times New Roman" w:cs="Times New Roman"/>
                <w:i/>
              </w:rPr>
            </m:ctrlPr>
          </m:dPr>
          <m:e>
            <m:sSub>
              <m:sSubPr>
                <m:ctrlPr>
                  <w:rPr>
                    <w:rFonts w:ascii="Times New Roman" w:hAnsi="Times New Roman" w:cs="Times New Roman"/>
                    <w:i/>
                  </w:rPr>
                </m:ctrlPr>
              </m:sSubPr>
              <m:e>
                <m:r>
                  <w:rPr>
                    <w:rFonts w:ascii="Times New Roman" w:hAnsi="Times New Roman" w:cs="Times New Roman"/>
                  </w:rPr>
                  <m:t>RB</m:t>
                </m:r>
              </m:e>
              <m:sub>
                <m:r>
                  <w:rPr>
                    <w:rFonts w:ascii="Times New Roman" w:hAnsi="Times New Roman" w:cs="Times New Roman"/>
                  </w:rPr>
                  <m:t>Y</m:t>
                </m:r>
              </m:sub>
            </m:sSub>
          </m:e>
        </m:d>
        <m:r>
          <w:rPr>
            <w:rFonts w:ascii="Times New Roman" w:hAnsi="Times New Roman" w:cs="Times New Roman"/>
          </w:rPr>
          <m:t>=1.006+</m:t>
        </m:r>
        <m:d>
          <m:dPr>
            <m:ctrlPr>
              <w:rPr>
                <w:rFonts w:ascii="Times New Roman" w:hAnsi="Times New Roman" w:cs="Times New Roman"/>
                <w:i/>
              </w:rPr>
            </m:ctrlPr>
          </m:dPr>
          <m:e>
            <m:r>
              <w:rPr>
                <w:rFonts w:ascii="Times New Roman" w:hAnsi="Times New Roman" w:cs="Times New Roman"/>
              </w:rPr>
              <m:t>-1.558*Industry 4.0</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0.986*Human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0.011*Relational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0.099*Structural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-0.982*Industry 4.0*Human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-0.007*Industry 4.0*Relational Capital</m:t>
            </m:r>
          </m:e>
        </m:d>
        <m:r>
          <w:rPr>
            <w:rFonts w:ascii="Times New Roman" w:hAnsi="Times New Roman" w:cs="Times New Roman"/>
          </w:rPr>
          <m:t>+(-0.1*Industry 4.0*Structural Capital)</m:t>
        </m:r>
      </m:oMath>
      <w:r w:rsidRPr="002C438C">
        <w:rPr>
          <w:rFonts w:ascii="Times New Roman" w:hAnsi="Times New Roman" w:cs="Times New Roman"/>
        </w:rPr>
        <w:t xml:space="preserve">     (2)</w:t>
      </w:r>
    </w:p>
    <w:p w14:paraId="22466F82" w14:textId="77777777" w:rsidR="002C438C" w:rsidRPr="002C438C" w:rsidRDefault="002C438C" w:rsidP="002C438C">
      <w:pPr>
        <w:adjustRightInd w:val="0"/>
        <w:spacing w:before="120" w:after="0" w:line="240" w:lineRule="auto"/>
        <w:jc w:val="center"/>
        <w:rPr>
          <w:rFonts w:ascii="Times New Roman" w:hAnsi="Times New Roman" w:cs="Times New Roman"/>
          <w:i/>
          <w:iCs/>
        </w:rPr>
      </w:pPr>
      <w:r w:rsidRPr="002C438C">
        <w:rPr>
          <w:rFonts w:ascii="Times New Roman" w:hAnsi="Times New Roman" w:cs="Times New Roman"/>
          <w:i/>
          <w:iCs/>
        </w:rPr>
        <w:t>Table 4: GEE analysis of the relationships between IC dimensions and young restaurants’ behavior during their transition to Industry 5.0</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2" w:type="dxa"/>
          <w:left w:w="72" w:type="dxa"/>
          <w:bottom w:w="72" w:type="dxa"/>
          <w:right w:w="72" w:type="dxa"/>
        </w:tblCellMar>
        <w:tblLook w:val="0000" w:firstRow="0" w:lastRow="0" w:firstColumn="0" w:lastColumn="0" w:noHBand="0" w:noVBand="0"/>
      </w:tblPr>
      <w:tblGrid>
        <w:gridCol w:w="3259"/>
        <w:gridCol w:w="705"/>
        <w:gridCol w:w="550"/>
        <w:gridCol w:w="847"/>
        <w:gridCol w:w="411"/>
        <w:gridCol w:w="592"/>
        <w:gridCol w:w="704"/>
        <w:gridCol w:w="1031"/>
        <w:gridCol w:w="946"/>
      </w:tblGrid>
      <w:tr w:rsidR="002C438C" w:rsidRPr="002C438C" w14:paraId="11ADD9ED" w14:textId="77777777" w:rsidTr="002C438C">
        <w:trPr>
          <w:cantSplit/>
          <w:trHeight w:val="20"/>
          <w:jc w:val="center"/>
        </w:trPr>
        <w:tc>
          <w:tcPr>
            <w:tcW w:w="1802" w:type="pct"/>
            <w:vMerge w:val="restart"/>
            <w:shd w:val="clear" w:color="auto" w:fill="FFFFFF"/>
            <w:vAlign w:val="center"/>
          </w:tcPr>
          <w:p w14:paraId="03308800"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Parameter</w:t>
            </w:r>
          </w:p>
        </w:tc>
        <w:tc>
          <w:tcPr>
            <w:tcW w:w="390" w:type="pct"/>
            <w:vMerge w:val="restart"/>
            <w:shd w:val="clear" w:color="auto" w:fill="FFFFFF"/>
            <w:vAlign w:val="center"/>
          </w:tcPr>
          <w:p w14:paraId="77DE1D32"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B</w:t>
            </w:r>
          </w:p>
        </w:tc>
        <w:tc>
          <w:tcPr>
            <w:tcW w:w="304" w:type="pct"/>
            <w:vMerge w:val="restart"/>
            <w:shd w:val="clear" w:color="auto" w:fill="FFFFFF"/>
            <w:vAlign w:val="center"/>
          </w:tcPr>
          <w:p w14:paraId="1F130606"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SE</w:t>
            </w:r>
          </w:p>
        </w:tc>
        <w:tc>
          <w:tcPr>
            <w:tcW w:w="468" w:type="pct"/>
            <w:vMerge w:val="restart"/>
            <w:shd w:val="clear" w:color="auto" w:fill="FFFFFF"/>
            <w:vAlign w:val="center"/>
          </w:tcPr>
          <w:p w14:paraId="37DACC27"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Wald Chi-Square</w:t>
            </w:r>
          </w:p>
        </w:tc>
        <w:tc>
          <w:tcPr>
            <w:tcW w:w="227" w:type="pct"/>
            <w:vMerge w:val="restart"/>
            <w:shd w:val="clear" w:color="auto" w:fill="FFFFFF"/>
            <w:vAlign w:val="center"/>
          </w:tcPr>
          <w:p w14:paraId="5FD6C1F1"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roofErr w:type="spellStart"/>
            <w:r w:rsidRPr="002C438C">
              <w:rPr>
                <w:rFonts w:ascii="Times New Roman" w:hAnsi="Times New Roman" w:cs="Times New Roman"/>
                <w:b/>
                <w:color w:val="000000"/>
                <w:sz w:val="20"/>
              </w:rPr>
              <w:t>df</w:t>
            </w:r>
            <w:proofErr w:type="spellEnd"/>
          </w:p>
        </w:tc>
        <w:tc>
          <w:tcPr>
            <w:tcW w:w="327" w:type="pct"/>
            <w:vMerge w:val="restart"/>
            <w:shd w:val="clear" w:color="auto" w:fill="FFFFFF"/>
            <w:vAlign w:val="center"/>
          </w:tcPr>
          <w:p w14:paraId="4CDB2938"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Sig.</w:t>
            </w:r>
          </w:p>
        </w:tc>
        <w:tc>
          <w:tcPr>
            <w:tcW w:w="389" w:type="pct"/>
            <w:vMerge w:val="restart"/>
            <w:shd w:val="clear" w:color="auto" w:fill="FFFFFF"/>
            <w:vAlign w:val="center"/>
          </w:tcPr>
          <w:p w14:paraId="0EC92E0D"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Exp (B)</w:t>
            </w:r>
          </w:p>
        </w:tc>
        <w:tc>
          <w:tcPr>
            <w:tcW w:w="1093" w:type="pct"/>
            <w:gridSpan w:val="2"/>
            <w:shd w:val="clear" w:color="auto" w:fill="FFFFFF"/>
            <w:vAlign w:val="center"/>
          </w:tcPr>
          <w:p w14:paraId="56F860FE"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95% Confidence Interval for Exp(B)</w:t>
            </w:r>
          </w:p>
        </w:tc>
      </w:tr>
      <w:tr w:rsidR="002C438C" w:rsidRPr="002C438C" w14:paraId="25F2CB58" w14:textId="77777777" w:rsidTr="002C438C">
        <w:trPr>
          <w:cantSplit/>
          <w:trHeight w:val="20"/>
          <w:jc w:val="center"/>
        </w:trPr>
        <w:tc>
          <w:tcPr>
            <w:tcW w:w="1802" w:type="pct"/>
            <w:vMerge/>
            <w:shd w:val="clear" w:color="auto" w:fill="FFFFFF"/>
            <w:vAlign w:val="center"/>
          </w:tcPr>
          <w:p w14:paraId="558E10EB"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90" w:type="pct"/>
            <w:vMerge/>
            <w:shd w:val="clear" w:color="auto" w:fill="FFFFFF"/>
            <w:vAlign w:val="center"/>
          </w:tcPr>
          <w:p w14:paraId="462BED93"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04" w:type="pct"/>
            <w:vMerge/>
            <w:shd w:val="clear" w:color="auto" w:fill="FFFFFF"/>
            <w:vAlign w:val="center"/>
          </w:tcPr>
          <w:p w14:paraId="1E45F0F4"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468" w:type="pct"/>
            <w:vMerge/>
            <w:shd w:val="clear" w:color="auto" w:fill="FFFFFF"/>
            <w:vAlign w:val="center"/>
          </w:tcPr>
          <w:p w14:paraId="7C397E3A"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227" w:type="pct"/>
            <w:vMerge/>
            <w:shd w:val="clear" w:color="auto" w:fill="FFFFFF"/>
            <w:vAlign w:val="center"/>
          </w:tcPr>
          <w:p w14:paraId="44AC831D"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27" w:type="pct"/>
            <w:vMerge/>
            <w:shd w:val="clear" w:color="auto" w:fill="FFFFFF"/>
            <w:vAlign w:val="center"/>
          </w:tcPr>
          <w:p w14:paraId="292EB5BF"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89" w:type="pct"/>
            <w:vMerge/>
            <w:shd w:val="clear" w:color="auto" w:fill="FFFFFF"/>
            <w:vAlign w:val="center"/>
          </w:tcPr>
          <w:p w14:paraId="7FFF1B6D"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570" w:type="pct"/>
            <w:shd w:val="clear" w:color="auto" w:fill="FFFFFF"/>
            <w:vAlign w:val="center"/>
          </w:tcPr>
          <w:p w14:paraId="78CC29E4" w14:textId="77777777" w:rsidR="002C438C" w:rsidRPr="0029675A" w:rsidRDefault="002C438C" w:rsidP="002C438C">
            <w:pPr>
              <w:adjustRightInd w:val="0"/>
              <w:snapToGrid w:val="0"/>
              <w:spacing w:after="0" w:line="240" w:lineRule="auto"/>
              <w:jc w:val="center"/>
              <w:rPr>
                <w:rFonts w:ascii="Times New Roman" w:hAnsi="Times New Roman" w:cs="Times New Roman"/>
                <w:b/>
                <w:i/>
                <w:iCs/>
                <w:color w:val="000000"/>
                <w:sz w:val="20"/>
              </w:rPr>
            </w:pPr>
            <w:r w:rsidRPr="0029675A">
              <w:rPr>
                <w:rFonts w:ascii="Times New Roman" w:hAnsi="Times New Roman" w:cs="Times New Roman"/>
                <w:b/>
                <w:i/>
                <w:iCs/>
                <w:color w:val="000000"/>
                <w:sz w:val="20"/>
              </w:rPr>
              <w:t>Lower</w:t>
            </w:r>
          </w:p>
        </w:tc>
        <w:tc>
          <w:tcPr>
            <w:tcW w:w="523" w:type="pct"/>
            <w:shd w:val="clear" w:color="auto" w:fill="FFFFFF"/>
            <w:vAlign w:val="center"/>
          </w:tcPr>
          <w:p w14:paraId="4B70156D" w14:textId="77777777" w:rsidR="002C438C" w:rsidRPr="0029675A" w:rsidRDefault="002C438C" w:rsidP="002C438C">
            <w:pPr>
              <w:adjustRightInd w:val="0"/>
              <w:snapToGrid w:val="0"/>
              <w:spacing w:after="0" w:line="240" w:lineRule="auto"/>
              <w:jc w:val="center"/>
              <w:rPr>
                <w:rFonts w:ascii="Times New Roman" w:hAnsi="Times New Roman" w:cs="Times New Roman"/>
                <w:b/>
                <w:i/>
                <w:iCs/>
                <w:color w:val="000000"/>
                <w:sz w:val="20"/>
              </w:rPr>
            </w:pPr>
            <w:r w:rsidRPr="0029675A">
              <w:rPr>
                <w:rFonts w:ascii="Times New Roman" w:hAnsi="Times New Roman" w:cs="Times New Roman"/>
                <w:b/>
                <w:i/>
                <w:iCs/>
                <w:color w:val="000000"/>
                <w:sz w:val="20"/>
              </w:rPr>
              <w:t>Upper</w:t>
            </w:r>
          </w:p>
        </w:tc>
      </w:tr>
      <w:tr w:rsidR="002C438C" w:rsidRPr="002C438C" w14:paraId="1D012149" w14:textId="77777777" w:rsidTr="002C438C">
        <w:trPr>
          <w:cantSplit/>
          <w:trHeight w:val="20"/>
          <w:jc w:val="center"/>
        </w:trPr>
        <w:tc>
          <w:tcPr>
            <w:tcW w:w="1802" w:type="pct"/>
            <w:shd w:val="clear" w:color="auto" w:fill="FFFFFF"/>
            <w:vAlign w:val="center"/>
          </w:tcPr>
          <w:p w14:paraId="6E6FB32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(Intercept)</w:t>
            </w:r>
          </w:p>
        </w:tc>
        <w:tc>
          <w:tcPr>
            <w:tcW w:w="390" w:type="pct"/>
            <w:shd w:val="clear" w:color="auto" w:fill="FFFFFF"/>
            <w:vAlign w:val="center"/>
          </w:tcPr>
          <w:p w14:paraId="4E38C43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1.006</w:t>
            </w:r>
          </w:p>
        </w:tc>
        <w:tc>
          <w:tcPr>
            <w:tcW w:w="304" w:type="pct"/>
            <w:shd w:val="clear" w:color="auto" w:fill="FFFFFF"/>
            <w:vAlign w:val="center"/>
          </w:tcPr>
          <w:p w14:paraId="72CD801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.583</w:t>
            </w:r>
          </w:p>
        </w:tc>
        <w:tc>
          <w:tcPr>
            <w:tcW w:w="468" w:type="pct"/>
            <w:shd w:val="clear" w:color="auto" w:fill="FFFFFF"/>
            <w:vAlign w:val="center"/>
          </w:tcPr>
          <w:p w14:paraId="50B734E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2.969</w:t>
            </w:r>
          </w:p>
        </w:tc>
        <w:tc>
          <w:tcPr>
            <w:tcW w:w="227" w:type="pct"/>
            <w:shd w:val="clear" w:color="auto" w:fill="FFFFFF"/>
            <w:vAlign w:val="center"/>
          </w:tcPr>
          <w:p w14:paraId="1F75D0F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05DDA8E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.085</w:t>
            </w:r>
          </w:p>
        </w:tc>
        <w:tc>
          <w:tcPr>
            <w:tcW w:w="389" w:type="pct"/>
            <w:shd w:val="clear" w:color="auto" w:fill="FFFFFF"/>
            <w:vAlign w:val="center"/>
          </w:tcPr>
          <w:p w14:paraId="23A4BF3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2.735</w:t>
            </w:r>
          </w:p>
        </w:tc>
        <w:tc>
          <w:tcPr>
            <w:tcW w:w="570" w:type="pct"/>
            <w:shd w:val="clear" w:color="auto" w:fill="FFFFFF"/>
            <w:vAlign w:val="center"/>
          </w:tcPr>
          <w:p w14:paraId="0247938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.871</w:t>
            </w:r>
          </w:p>
        </w:tc>
        <w:tc>
          <w:tcPr>
            <w:tcW w:w="523" w:type="pct"/>
            <w:shd w:val="clear" w:color="auto" w:fill="FFFFFF"/>
            <w:vAlign w:val="center"/>
          </w:tcPr>
          <w:p w14:paraId="0EF30B3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8.591</w:t>
            </w:r>
          </w:p>
        </w:tc>
      </w:tr>
      <w:tr w:rsidR="002C438C" w:rsidRPr="002C438C" w14:paraId="1D23D9CC" w14:textId="77777777" w:rsidTr="002C438C">
        <w:trPr>
          <w:cantSplit/>
          <w:trHeight w:val="20"/>
          <w:jc w:val="center"/>
        </w:trPr>
        <w:tc>
          <w:tcPr>
            <w:tcW w:w="1802" w:type="pct"/>
            <w:shd w:val="clear" w:color="auto" w:fill="FFFFFF"/>
            <w:vAlign w:val="center"/>
          </w:tcPr>
          <w:p w14:paraId="4F66A6C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w:t>
            </w:r>
          </w:p>
        </w:tc>
        <w:tc>
          <w:tcPr>
            <w:tcW w:w="390" w:type="pct"/>
            <w:shd w:val="clear" w:color="auto" w:fill="FFFFFF"/>
            <w:vAlign w:val="center"/>
          </w:tcPr>
          <w:p w14:paraId="30187E5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-1.558</w:t>
            </w:r>
          </w:p>
        </w:tc>
        <w:tc>
          <w:tcPr>
            <w:tcW w:w="304" w:type="pct"/>
            <w:shd w:val="clear" w:color="auto" w:fill="FFFFFF"/>
            <w:vAlign w:val="center"/>
          </w:tcPr>
          <w:p w14:paraId="36B411A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.535</w:t>
            </w:r>
          </w:p>
        </w:tc>
        <w:tc>
          <w:tcPr>
            <w:tcW w:w="468" w:type="pct"/>
            <w:shd w:val="clear" w:color="auto" w:fill="FFFFFF"/>
            <w:vAlign w:val="center"/>
          </w:tcPr>
          <w:p w14:paraId="3516B83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8.462</w:t>
            </w:r>
          </w:p>
        </w:tc>
        <w:tc>
          <w:tcPr>
            <w:tcW w:w="227" w:type="pct"/>
            <w:shd w:val="clear" w:color="auto" w:fill="FFFFFF"/>
            <w:vAlign w:val="center"/>
          </w:tcPr>
          <w:p w14:paraId="43A51F4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30AE64E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389" w:type="pct"/>
            <w:shd w:val="clear" w:color="auto" w:fill="FFFFFF"/>
            <w:vAlign w:val="center"/>
          </w:tcPr>
          <w:p w14:paraId="2D60BD0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.211</w:t>
            </w:r>
          </w:p>
        </w:tc>
        <w:tc>
          <w:tcPr>
            <w:tcW w:w="570" w:type="pct"/>
            <w:shd w:val="clear" w:color="auto" w:fill="FFFFFF"/>
            <w:vAlign w:val="center"/>
          </w:tcPr>
          <w:p w14:paraId="7341166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.074</w:t>
            </w:r>
          </w:p>
        </w:tc>
        <w:tc>
          <w:tcPr>
            <w:tcW w:w="523" w:type="pct"/>
            <w:shd w:val="clear" w:color="auto" w:fill="FFFFFF"/>
            <w:vAlign w:val="center"/>
          </w:tcPr>
          <w:p w14:paraId="23054B3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.602</w:t>
            </w:r>
          </w:p>
        </w:tc>
      </w:tr>
      <w:tr w:rsidR="002C438C" w:rsidRPr="002C438C" w14:paraId="7FD5DF03" w14:textId="77777777" w:rsidTr="002C438C">
        <w:trPr>
          <w:cantSplit/>
          <w:trHeight w:val="20"/>
          <w:jc w:val="center"/>
        </w:trPr>
        <w:tc>
          <w:tcPr>
            <w:tcW w:w="1802" w:type="pct"/>
            <w:shd w:val="clear" w:color="auto" w:fill="FFFFFF"/>
            <w:vAlign w:val="center"/>
          </w:tcPr>
          <w:p w14:paraId="036725E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w:t>
            </w:r>
          </w:p>
        </w:tc>
        <w:tc>
          <w:tcPr>
            <w:tcW w:w="390" w:type="pct"/>
            <w:shd w:val="clear" w:color="auto" w:fill="FFFFFF"/>
            <w:vAlign w:val="center"/>
          </w:tcPr>
          <w:p w14:paraId="2725CAA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04" w:type="pct"/>
            <w:shd w:val="clear" w:color="auto" w:fill="FFFFFF"/>
            <w:vAlign w:val="center"/>
          </w:tcPr>
          <w:p w14:paraId="6FDBA02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8" w:type="pct"/>
            <w:shd w:val="clear" w:color="auto" w:fill="FFFFFF"/>
            <w:vAlign w:val="center"/>
          </w:tcPr>
          <w:p w14:paraId="579B3F2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27" w:type="pct"/>
            <w:shd w:val="clear" w:color="auto" w:fill="FFFFFF"/>
            <w:vAlign w:val="center"/>
          </w:tcPr>
          <w:p w14:paraId="79D265F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27" w:type="pct"/>
            <w:shd w:val="clear" w:color="auto" w:fill="FFFFFF"/>
            <w:vAlign w:val="center"/>
          </w:tcPr>
          <w:p w14:paraId="179E109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25F0424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70" w:type="pct"/>
            <w:shd w:val="clear" w:color="auto" w:fill="FFFFFF"/>
            <w:vAlign w:val="center"/>
          </w:tcPr>
          <w:p w14:paraId="0D2AB50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23" w:type="pct"/>
            <w:shd w:val="clear" w:color="auto" w:fill="FFFFFF"/>
            <w:vAlign w:val="center"/>
          </w:tcPr>
          <w:p w14:paraId="3A70436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3FB993AA" w14:textId="77777777" w:rsidTr="002C438C">
        <w:trPr>
          <w:cantSplit/>
          <w:trHeight w:val="20"/>
          <w:jc w:val="center"/>
        </w:trPr>
        <w:tc>
          <w:tcPr>
            <w:tcW w:w="1802" w:type="pct"/>
            <w:shd w:val="clear" w:color="auto" w:fill="FFFFFF"/>
            <w:vAlign w:val="center"/>
          </w:tcPr>
          <w:p w14:paraId="4AD9832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Human Capital</w:t>
            </w:r>
          </w:p>
        </w:tc>
        <w:tc>
          <w:tcPr>
            <w:tcW w:w="390" w:type="pct"/>
            <w:shd w:val="clear" w:color="auto" w:fill="FFFFFF"/>
            <w:vAlign w:val="center"/>
          </w:tcPr>
          <w:p w14:paraId="158A56C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.986</w:t>
            </w:r>
          </w:p>
        </w:tc>
        <w:tc>
          <w:tcPr>
            <w:tcW w:w="304" w:type="pct"/>
            <w:shd w:val="clear" w:color="auto" w:fill="FFFFFF"/>
            <w:vAlign w:val="center"/>
          </w:tcPr>
          <w:p w14:paraId="772ED1D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.267</w:t>
            </w:r>
          </w:p>
        </w:tc>
        <w:tc>
          <w:tcPr>
            <w:tcW w:w="468" w:type="pct"/>
            <w:shd w:val="clear" w:color="auto" w:fill="FFFFFF"/>
            <w:vAlign w:val="center"/>
          </w:tcPr>
          <w:p w14:paraId="5A346FD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13.631</w:t>
            </w:r>
          </w:p>
        </w:tc>
        <w:tc>
          <w:tcPr>
            <w:tcW w:w="227" w:type="pct"/>
            <w:shd w:val="clear" w:color="auto" w:fill="FFFFFF"/>
            <w:vAlign w:val="center"/>
          </w:tcPr>
          <w:p w14:paraId="28B312A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78E0379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4CC14CE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2.680</w:t>
            </w:r>
          </w:p>
        </w:tc>
        <w:tc>
          <w:tcPr>
            <w:tcW w:w="570" w:type="pct"/>
            <w:shd w:val="clear" w:color="auto" w:fill="FFFFFF"/>
            <w:vAlign w:val="center"/>
          </w:tcPr>
          <w:p w14:paraId="2EB145C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1.586</w:t>
            </w:r>
          </w:p>
        </w:tc>
        <w:tc>
          <w:tcPr>
            <w:tcW w:w="523" w:type="pct"/>
            <w:shd w:val="clear" w:color="auto" w:fill="FFFFFF"/>
            <w:vAlign w:val="center"/>
          </w:tcPr>
          <w:p w14:paraId="61CE3AF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4.527</w:t>
            </w:r>
          </w:p>
        </w:tc>
      </w:tr>
      <w:tr w:rsidR="002C438C" w:rsidRPr="002C438C" w14:paraId="042A9F31" w14:textId="77777777" w:rsidTr="002C438C">
        <w:trPr>
          <w:cantSplit/>
          <w:trHeight w:val="20"/>
          <w:jc w:val="center"/>
        </w:trPr>
        <w:tc>
          <w:tcPr>
            <w:tcW w:w="1802" w:type="pct"/>
            <w:shd w:val="clear" w:color="auto" w:fill="FFFFFF"/>
            <w:vAlign w:val="center"/>
          </w:tcPr>
          <w:p w14:paraId="4D62AA7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Relational Capital</w:t>
            </w:r>
          </w:p>
        </w:tc>
        <w:tc>
          <w:tcPr>
            <w:tcW w:w="390" w:type="pct"/>
            <w:shd w:val="clear" w:color="auto" w:fill="FFFFFF"/>
            <w:vAlign w:val="center"/>
          </w:tcPr>
          <w:p w14:paraId="5D334D0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.011</w:t>
            </w:r>
          </w:p>
        </w:tc>
        <w:tc>
          <w:tcPr>
            <w:tcW w:w="304" w:type="pct"/>
            <w:shd w:val="clear" w:color="auto" w:fill="FFFFFF"/>
            <w:vAlign w:val="center"/>
          </w:tcPr>
          <w:p w14:paraId="1420158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468" w:type="pct"/>
            <w:shd w:val="clear" w:color="auto" w:fill="FFFFFF"/>
            <w:vAlign w:val="center"/>
          </w:tcPr>
          <w:p w14:paraId="2DE60CF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5.450</w:t>
            </w:r>
          </w:p>
        </w:tc>
        <w:tc>
          <w:tcPr>
            <w:tcW w:w="227" w:type="pct"/>
            <w:shd w:val="clear" w:color="auto" w:fill="FFFFFF"/>
            <w:vAlign w:val="center"/>
          </w:tcPr>
          <w:p w14:paraId="6D8D544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61E6DFC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.020</w:t>
            </w:r>
          </w:p>
        </w:tc>
        <w:tc>
          <w:tcPr>
            <w:tcW w:w="389" w:type="pct"/>
            <w:shd w:val="clear" w:color="auto" w:fill="FFFFFF"/>
            <w:vAlign w:val="center"/>
          </w:tcPr>
          <w:p w14:paraId="7123300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1.011</w:t>
            </w:r>
          </w:p>
        </w:tc>
        <w:tc>
          <w:tcPr>
            <w:tcW w:w="570" w:type="pct"/>
            <w:shd w:val="clear" w:color="auto" w:fill="FFFFFF"/>
            <w:vAlign w:val="center"/>
          </w:tcPr>
          <w:p w14:paraId="6DF7585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1.002</w:t>
            </w:r>
          </w:p>
        </w:tc>
        <w:tc>
          <w:tcPr>
            <w:tcW w:w="523" w:type="pct"/>
            <w:shd w:val="clear" w:color="auto" w:fill="FFFFFF"/>
            <w:vAlign w:val="center"/>
          </w:tcPr>
          <w:p w14:paraId="4505A22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1.020</w:t>
            </w:r>
          </w:p>
        </w:tc>
      </w:tr>
      <w:tr w:rsidR="002C438C" w:rsidRPr="002C438C" w14:paraId="0C8273CD" w14:textId="77777777" w:rsidTr="002C438C">
        <w:trPr>
          <w:cantSplit/>
          <w:trHeight w:val="20"/>
          <w:jc w:val="center"/>
        </w:trPr>
        <w:tc>
          <w:tcPr>
            <w:tcW w:w="1802" w:type="pct"/>
            <w:shd w:val="clear" w:color="auto" w:fill="FFFFFF"/>
            <w:vAlign w:val="center"/>
          </w:tcPr>
          <w:p w14:paraId="7229D94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Structural Capital</w:t>
            </w:r>
          </w:p>
        </w:tc>
        <w:tc>
          <w:tcPr>
            <w:tcW w:w="390" w:type="pct"/>
            <w:shd w:val="clear" w:color="auto" w:fill="FFFFFF"/>
            <w:vAlign w:val="center"/>
          </w:tcPr>
          <w:p w14:paraId="4A81D87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.099</w:t>
            </w:r>
          </w:p>
        </w:tc>
        <w:tc>
          <w:tcPr>
            <w:tcW w:w="304" w:type="pct"/>
            <w:shd w:val="clear" w:color="auto" w:fill="FFFFFF"/>
            <w:vAlign w:val="center"/>
          </w:tcPr>
          <w:p w14:paraId="7259BB9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.052</w:t>
            </w:r>
          </w:p>
        </w:tc>
        <w:tc>
          <w:tcPr>
            <w:tcW w:w="468" w:type="pct"/>
            <w:shd w:val="clear" w:color="auto" w:fill="FFFFFF"/>
            <w:vAlign w:val="center"/>
          </w:tcPr>
          <w:p w14:paraId="777FA8A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3.587</w:t>
            </w:r>
          </w:p>
        </w:tc>
        <w:tc>
          <w:tcPr>
            <w:tcW w:w="227" w:type="pct"/>
            <w:shd w:val="clear" w:color="auto" w:fill="FFFFFF"/>
            <w:vAlign w:val="center"/>
          </w:tcPr>
          <w:p w14:paraId="77765CC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12D2CC4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.058</w:t>
            </w:r>
          </w:p>
        </w:tc>
        <w:tc>
          <w:tcPr>
            <w:tcW w:w="389" w:type="pct"/>
            <w:shd w:val="clear" w:color="auto" w:fill="FFFFFF"/>
            <w:vAlign w:val="center"/>
          </w:tcPr>
          <w:p w14:paraId="3BF2EB3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1.105</w:t>
            </w:r>
          </w:p>
        </w:tc>
        <w:tc>
          <w:tcPr>
            <w:tcW w:w="570" w:type="pct"/>
            <w:shd w:val="clear" w:color="auto" w:fill="FFFFFF"/>
            <w:vAlign w:val="center"/>
          </w:tcPr>
          <w:p w14:paraId="7135DA9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.997</w:t>
            </w:r>
          </w:p>
        </w:tc>
        <w:tc>
          <w:tcPr>
            <w:tcW w:w="523" w:type="pct"/>
            <w:shd w:val="clear" w:color="auto" w:fill="FFFFFF"/>
            <w:vAlign w:val="center"/>
          </w:tcPr>
          <w:p w14:paraId="3A0FD59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1.224</w:t>
            </w:r>
          </w:p>
        </w:tc>
      </w:tr>
      <w:tr w:rsidR="002C438C" w:rsidRPr="002C438C" w14:paraId="4D987797" w14:textId="77777777" w:rsidTr="002C438C">
        <w:trPr>
          <w:cantSplit/>
          <w:trHeight w:val="20"/>
          <w:jc w:val="center"/>
        </w:trPr>
        <w:tc>
          <w:tcPr>
            <w:tcW w:w="1802" w:type="pct"/>
            <w:shd w:val="clear" w:color="auto" w:fill="FFFFFF"/>
            <w:vAlign w:val="center"/>
          </w:tcPr>
          <w:p w14:paraId="03A146C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Human Capital</w:t>
            </w:r>
          </w:p>
        </w:tc>
        <w:tc>
          <w:tcPr>
            <w:tcW w:w="390" w:type="pct"/>
            <w:shd w:val="clear" w:color="auto" w:fill="FFFFFF"/>
            <w:vAlign w:val="center"/>
          </w:tcPr>
          <w:p w14:paraId="5D2623A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-.982</w:t>
            </w:r>
          </w:p>
        </w:tc>
        <w:tc>
          <w:tcPr>
            <w:tcW w:w="304" w:type="pct"/>
            <w:shd w:val="clear" w:color="auto" w:fill="FFFFFF"/>
            <w:vAlign w:val="center"/>
          </w:tcPr>
          <w:p w14:paraId="1B3391B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.266</w:t>
            </w:r>
          </w:p>
        </w:tc>
        <w:tc>
          <w:tcPr>
            <w:tcW w:w="468" w:type="pct"/>
            <w:shd w:val="clear" w:color="auto" w:fill="FFFFFF"/>
            <w:vAlign w:val="center"/>
          </w:tcPr>
          <w:p w14:paraId="2469181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13.545</w:t>
            </w:r>
          </w:p>
        </w:tc>
        <w:tc>
          <w:tcPr>
            <w:tcW w:w="227" w:type="pct"/>
            <w:shd w:val="clear" w:color="auto" w:fill="FFFFFF"/>
            <w:vAlign w:val="center"/>
          </w:tcPr>
          <w:p w14:paraId="6ECD9CD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6107D62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04B05AF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.374</w:t>
            </w:r>
          </w:p>
        </w:tc>
        <w:tc>
          <w:tcPr>
            <w:tcW w:w="570" w:type="pct"/>
            <w:shd w:val="clear" w:color="auto" w:fill="FFFFFF"/>
            <w:vAlign w:val="center"/>
          </w:tcPr>
          <w:p w14:paraId="7C9F38D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.222</w:t>
            </w:r>
          </w:p>
        </w:tc>
        <w:tc>
          <w:tcPr>
            <w:tcW w:w="523" w:type="pct"/>
            <w:shd w:val="clear" w:color="auto" w:fill="FFFFFF"/>
            <w:vAlign w:val="center"/>
          </w:tcPr>
          <w:p w14:paraId="0354219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.632</w:t>
            </w:r>
          </w:p>
        </w:tc>
      </w:tr>
      <w:tr w:rsidR="002C438C" w:rsidRPr="002C438C" w14:paraId="6A2AED09" w14:textId="77777777" w:rsidTr="002C438C">
        <w:trPr>
          <w:cantSplit/>
          <w:trHeight w:val="20"/>
          <w:jc w:val="center"/>
        </w:trPr>
        <w:tc>
          <w:tcPr>
            <w:tcW w:w="1802" w:type="pct"/>
            <w:shd w:val="clear" w:color="auto" w:fill="FFFFFF"/>
            <w:vAlign w:val="center"/>
          </w:tcPr>
          <w:p w14:paraId="6D30B35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Human Capital</w:t>
            </w:r>
          </w:p>
        </w:tc>
        <w:tc>
          <w:tcPr>
            <w:tcW w:w="390" w:type="pct"/>
            <w:shd w:val="clear" w:color="auto" w:fill="FFFFFF"/>
            <w:vAlign w:val="center"/>
          </w:tcPr>
          <w:p w14:paraId="005E3A5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04" w:type="pct"/>
            <w:shd w:val="clear" w:color="auto" w:fill="FFFFFF"/>
            <w:vAlign w:val="center"/>
          </w:tcPr>
          <w:p w14:paraId="39F1457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8" w:type="pct"/>
            <w:shd w:val="clear" w:color="auto" w:fill="FFFFFF"/>
            <w:vAlign w:val="center"/>
          </w:tcPr>
          <w:p w14:paraId="7802DDF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27" w:type="pct"/>
            <w:shd w:val="clear" w:color="auto" w:fill="FFFFFF"/>
            <w:vAlign w:val="center"/>
          </w:tcPr>
          <w:p w14:paraId="210A3F0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27" w:type="pct"/>
            <w:shd w:val="clear" w:color="auto" w:fill="FFFFFF"/>
            <w:vAlign w:val="center"/>
          </w:tcPr>
          <w:p w14:paraId="211F96A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53E257B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70" w:type="pct"/>
            <w:shd w:val="clear" w:color="auto" w:fill="FFFFFF"/>
            <w:vAlign w:val="center"/>
          </w:tcPr>
          <w:p w14:paraId="2D4C987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23" w:type="pct"/>
            <w:shd w:val="clear" w:color="auto" w:fill="FFFFFF"/>
            <w:vAlign w:val="center"/>
          </w:tcPr>
          <w:p w14:paraId="6E811C6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35B0F8BE" w14:textId="77777777" w:rsidTr="002C438C">
        <w:trPr>
          <w:cantSplit/>
          <w:trHeight w:val="20"/>
          <w:jc w:val="center"/>
        </w:trPr>
        <w:tc>
          <w:tcPr>
            <w:tcW w:w="1802" w:type="pct"/>
            <w:shd w:val="clear" w:color="auto" w:fill="FFFFFF"/>
            <w:vAlign w:val="center"/>
          </w:tcPr>
          <w:p w14:paraId="0BD461D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Relational Capital</w:t>
            </w:r>
          </w:p>
        </w:tc>
        <w:tc>
          <w:tcPr>
            <w:tcW w:w="390" w:type="pct"/>
            <w:shd w:val="clear" w:color="auto" w:fill="FFFFFF"/>
            <w:vAlign w:val="center"/>
          </w:tcPr>
          <w:p w14:paraId="6DBA3A5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-.007</w:t>
            </w:r>
          </w:p>
        </w:tc>
        <w:tc>
          <w:tcPr>
            <w:tcW w:w="304" w:type="pct"/>
            <w:shd w:val="clear" w:color="auto" w:fill="FFFFFF"/>
            <w:vAlign w:val="center"/>
          </w:tcPr>
          <w:p w14:paraId="1C5CEF2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.005</w:t>
            </w:r>
          </w:p>
        </w:tc>
        <w:tc>
          <w:tcPr>
            <w:tcW w:w="468" w:type="pct"/>
            <w:shd w:val="clear" w:color="auto" w:fill="FFFFFF"/>
            <w:vAlign w:val="center"/>
          </w:tcPr>
          <w:p w14:paraId="344F730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1.567</w:t>
            </w:r>
          </w:p>
        </w:tc>
        <w:tc>
          <w:tcPr>
            <w:tcW w:w="227" w:type="pct"/>
            <w:shd w:val="clear" w:color="auto" w:fill="FFFFFF"/>
            <w:vAlign w:val="center"/>
          </w:tcPr>
          <w:p w14:paraId="66FC8E6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01F12FB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.211</w:t>
            </w:r>
          </w:p>
        </w:tc>
        <w:tc>
          <w:tcPr>
            <w:tcW w:w="389" w:type="pct"/>
            <w:shd w:val="clear" w:color="auto" w:fill="FFFFFF"/>
            <w:vAlign w:val="center"/>
          </w:tcPr>
          <w:p w14:paraId="1CBF33F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.993</w:t>
            </w:r>
          </w:p>
        </w:tc>
        <w:tc>
          <w:tcPr>
            <w:tcW w:w="570" w:type="pct"/>
            <w:shd w:val="clear" w:color="auto" w:fill="FFFFFF"/>
            <w:vAlign w:val="center"/>
          </w:tcPr>
          <w:p w14:paraId="6E39CAC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.983</w:t>
            </w:r>
          </w:p>
        </w:tc>
        <w:tc>
          <w:tcPr>
            <w:tcW w:w="523" w:type="pct"/>
            <w:shd w:val="clear" w:color="auto" w:fill="FFFFFF"/>
            <w:vAlign w:val="center"/>
          </w:tcPr>
          <w:p w14:paraId="3A24ED5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1.004</w:t>
            </w:r>
          </w:p>
        </w:tc>
      </w:tr>
      <w:tr w:rsidR="002C438C" w:rsidRPr="002C438C" w14:paraId="6FED5C7C" w14:textId="77777777" w:rsidTr="002C438C">
        <w:trPr>
          <w:cantSplit/>
          <w:trHeight w:val="20"/>
          <w:jc w:val="center"/>
        </w:trPr>
        <w:tc>
          <w:tcPr>
            <w:tcW w:w="1802" w:type="pct"/>
            <w:shd w:val="clear" w:color="auto" w:fill="FFFFFF"/>
            <w:vAlign w:val="center"/>
          </w:tcPr>
          <w:p w14:paraId="6143735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Relational Capital</w:t>
            </w:r>
          </w:p>
        </w:tc>
        <w:tc>
          <w:tcPr>
            <w:tcW w:w="390" w:type="pct"/>
            <w:shd w:val="clear" w:color="auto" w:fill="FFFFFF"/>
            <w:vAlign w:val="center"/>
          </w:tcPr>
          <w:p w14:paraId="73AC435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04" w:type="pct"/>
            <w:shd w:val="clear" w:color="auto" w:fill="FFFFFF"/>
            <w:vAlign w:val="center"/>
          </w:tcPr>
          <w:p w14:paraId="32A05B0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8" w:type="pct"/>
            <w:shd w:val="clear" w:color="auto" w:fill="FFFFFF"/>
            <w:vAlign w:val="center"/>
          </w:tcPr>
          <w:p w14:paraId="4CD160F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27" w:type="pct"/>
            <w:shd w:val="clear" w:color="auto" w:fill="FFFFFF"/>
            <w:vAlign w:val="center"/>
          </w:tcPr>
          <w:p w14:paraId="1782489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27" w:type="pct"/>
            <w:shd w:val="clear" w:color="auto" w:fill="FFFFFF"/>
            <w:vAlign w:val="center"/>
          </w:tcPr>
          <w:p w14:paraId="7C268BC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6DCE79A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70" w:type="pct"/>
            <w:shd w:val="clear" w:color="auto" w:fill="FFFFFF"/>
            <w:vAlign w:val="center"/>
          </w:tcPr>
          <w:p w14:paraId="251F279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23" w:type="pct"/>
            <w:shd w:val="clear" w:color="auto" w:fill="FFFFFF"/>
            <w:vAlign w:val="center"/>
          </w:tcPr>
          <w:p w14:paraId="373E667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391E86C0" w14:textId="77777777" w:rsidTr="002C438C">
        <w:trPr>
          <w:cantSplit/>
          <w:trHeight w:val="20"/>
          <w:jc w:val="center"/>
        </w:trPr>
        <w:tc>
          <w:tcPr>
            <w:tcW w:w="1802" w:type="pct"/>
            <w:shd w:val="clear" w:color="auto" w:fill="FFFFFF"/>
            <w:vAlign w:val="center"/>
          </w:tcPr>
          <w:p w14:paraId="0001F3E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Structural Capital</w:t>
            </w:r>
          </w:p>
        </w:tc>
        <w:tc>
          <w:tcPr>
            <w:tcW w:w="390" w:type="pct"/>
            <w:shd w:val="clear" w:color="auto" w:fill="FFFFFF"/>
            <w:vAlign w:val="center"/>
          </w:tcPr>
          <w:p w14:paraId="65F71D0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w:t>
            </w:r>
          </w:p>
        </w:tc>
        <w:tc>
          <w:tcPr>
            <w:tcW w:w="304" w:type="pct"/>
            <w:shd w:val="clear" w:color="auto" w:fill="FFFFFF"/>
            <w:vAlign w:val="center"/>
          </w:tcPr>
          <w:p w14:paraId="5421077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.050</w:t>
            </w:r>
          </w:p>
        </w:tc>
        <w:tc>
          <w:tcPr>
            <w:tcW w:w="468" w:type="pct"/>
            <w:shd w:val="clear" w:color="auto" w:fill="FFFFFF"/>
            <w:vAlign w:val="center"/>
          </w:tcPr>
          <w:p w14:paraId="1227F58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3.871</w:t>
            </w:r>
          </w:p>
        </w:tc>
        <w:tc>
          <w:tcPr>
            <w:tcW w:w="227" w:type="pct"/>
            <w:shd w:val="clear" w:color="auto" w:fill="FFFFFF"/>
            <w:vAlign w:val="center"/>
          </w:tcPr>
          <w:p w14:paraId="22026C8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520AF50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.049</w:t>
            </w:r>
          </w:p>
        </w:tc>
        <w:tc>
          <w:tcPr>
            <w:tcW w:w="389" w:type="pct"/>
            <w:shd w:val="clear" w:color="auto" w:fill="FFFFFF"/>
            <w:vAlign w:val="center"/>
          </w:tcPr>
          <w:p w14:paraId="0967C46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.905</w:t>
            </w:r>
          </w:p>
        </w:tc>
        <w:tc>
          <w:tcPr>
            <w:tcW w:w="570" w:type="pct"/>
            <w:shd w:val="clear" w:color="auto" w:fill="FFFFFF"/>
            <w:vAlign w:val="center"/>
          </w:tcPr>
          <w:p w14:paraId="6CE72EC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.819</w:t>
            </w:r>
          </w:p>
        </w:tc>
        <w:tc>
          <w:tcPr>
            <w:tcW w:w="523" w:type="pct"/>
            <w:shd w:val="clear" w:color="auto" w:fill="FFFFFF"/>
            <w:vAlign w:val="center"/>
          </w:tcPr>
          <w:p w14:paraId="7BF9CC4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r>
      <w:tr w:rsidR="002C438C" w:rsidRPr="002C438C" w14:paraId="3C277FA3" w14:textId="77777777" w:rsidTr="002C438C">
        <w:trPr>
          <w:cantSplit/>
          <w:trHeight w:val="20"/>
          <w:jc w:val="center"/>
        </w:trPr>
        <w:tc>
          <w:tcPr>
            <w:tcW w:w="1802" w:type="pct"/>
            <w:shd w:val="clear" w:color="auto" w:fill="FFFFFF"/>
            <w:vAlign w:val="center"/>
          </w:tcPr>
          <w:p w14:paraId="63244E3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Structural Capital</w:t>
            </w:r>
          </w:p>
        </w:tc>
        <w:tc>
          <w:tcPr>
            <w:tcW w:w="390" w:type="pct"/>
            <w:shd w:val="clear" w:color="auto" w:fill="FFFFFF"/>
            <w:vAlign w:val="center"/>
          </w:tcPr>
          <w:p w14:paraId="02D86A7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04" w:type="pct"/>
            <w:shd w:val="clear" w:color="auto" w:fill="FFFFFF"/>
            <w:vAlign w:val="center"/>
          </w:tcPr>
          <w:p w14:paraId="437A428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8" w:type="pct"/>
            <w:shd w:val="clear" w:color="auto" w:fill="FFFFFF"/>
            <w:vAlign w:val="center"/>
          </w:tcPr>
          <w:p w14:paraId="4458392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27" w:type="pct"/>
            <w:shd w:val="clear" w:color="auto" w:fill="FFFFFF"/>
            <w:vAlign w:val="center"/>
          </w:tcPr>
          <w:p w14:paraId="079639E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27" w:type="pct"/>
            <w:shd w:val="clear" w:color="auto" w:fill="FFFFFF"/>
            <w:vAlign w:val="center"/>
          </w:tcPr>
          <w:p w14:paraId="29393D5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13F349A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70" w:type="pct"/>
            <w:shd w:val="clear" w:color="auto" w:fill="FFFFFF"/>
            <w:vAlign w:val="center"/>
          </w:tcPr>
          <w:p w14:paraId="775DB96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23" w:type="pct"/>
            <w:shd w:val="clear" w:color="auto" w:fill="FFFFFF"/>
            <w:vAlign w:val="center"/>
          </w:tcPr>
          <w:p w14:paraId="619F6D0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3BB7BDFA" w14:textId="77777777" w:rsidTr="002C438C">
        <w:trPr>
          <w:cantSplit/>
          <w:trHeight w:val="20"/>
          <w:jc w:val="center"/>
        </w:trPr>
        <w:tc>
          <w:tcPr>
            <w:tcW w:w="5000" w:type="pct"/>
            <w:gridSpan w:val="9"/>
            <w:shd w:val="clear" w:color="auto" w:fill="FFFFFF"/>
            <w:vAlign w:val="center"/>
          </w:tcPr>
          <w:p w14:paraId="525869F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Dependent Variable: Young restaurants’ economic behavior</w:t>
            </w:r>
          </w:p>
          <w:p w14:paraId="24E68CE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Model: (Intercept), Industry level, Human Capital, Relational Capital, Structural Capital, Industry level * Human Capital, Industry level * Relational Capital, Industry level * Structural Capital</w:t>
            </w:r>
          </w:p>
        </w:tc>
      </w:tr>
      <w:tr w:rsidR="002C438C" w:rsidRPr="002C438C" w14:paraId="7F4DAEC1" w14:textId="77777777" w:rsidTr="002C438C">
        <w:trPr>
          <w:cantSplit/>
          <w:trHeight w:val="20"/>
          <w:jc w:val="center"/>
        </w:trPr>
        <w:tc>
          <w:tcPr>
            <w:tcW w:w="5000" w:type="pct"/>
            <w:gridSpan w:val="9"/>
            <w:shd w:val="clear" w:color="auto" w:fill="FFFFFF"/>
            <w:vAlign w:val="center"/>
          </w:tcPr>
          <w:p w14:paraId="12FFEDA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a. Set to zero because this parameter is redundant.</w:t>
            </w:r>
          </w:p>
        </w:tc>
      </w:tr>
    </w:tbl>
    <w:p w14:paraId="3CB76B0C" w14:textId="77777777" w:rsidR="002C438C" w:rsidRDefault="002C438C" w:rsidP="002C438C">
      <w:pPr>
        <w:shd w:val="clear" w:color="auto" w:fill="FFFFFF"/>
        <w:rPr>
          <w:rFonts w:ascii="Times New Roman" w:hAnsi="Times New Roman" w:cs="Times New Roman"/>
          <w:b/>
          <w:bCs/>
        </w:rPr>
      </w:pPr>
    </w:p>
    <w:p w14:paraId="6236290F" w14:textId="7F371FC0"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b/>
          <w:bCs/>
        </w:rPr>
        <w:t xml:space="preserve">4.2.2. Strategies </w:t>
      </w:r>
      <w:proofErr w:type="gramStart"/>
      <w:r w:rsidRPr="002C438C">
        <w:rPr>
          <w:rFonts w:ascii="Times New Roman" w:hAnsi="Times New Roman" w:cs="Times New Roman"/>
          <w:b/>
          <w:bCs/>
        </w:rPr>
        <w:t>of</w:t>
      </w:r>
      <w:proofErr w:type="gramEnd"/>
      <w:r w:rsidRPr="002C438C">
        <w:rPr>
          <w:rFonts w:ascii="Times New Roman" w:hAnsi="Times New Roman" w:cs="Times New Roman"/>
          <w:b/>
          <w:bCs/>
        </w:rPr>
        <w:t xml:space="preserve"> Developmental Restaurants</w:t>
      </w:r>
    </w:p>
    <w:p w14:paraId="52D20388" w14:textId="7808BDDC" w:rsidR="0029675A"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rPr>
        <w:t xml:space="preserve">The strategic posture of developmental restaurants (5-10 years old) hinges primarily on their relational networks (Table 5). In this case, managers’ decisions are strongly influenced by relational capital (ß=0.583, p=0.032 &lt; 0.05). The odds ratio, Exp(B)=1.792, indicates that for every one-unit increase in relational capital, the odds of a developmental restaurant adopting an adaptive strategy increase by 79.2%. The result brings forward a strong correlation between prior success (as measured by revenue growth) and the capacity for further strategic adaptation. </w:t>
      </w:r>
    </w:p>
    <w:p w14:paraId="02689E22" w14:textId="77777777" w:rsidR="0029675A" w:rsidRDefault="0029675A">
      <w:pPr>
        <w:rPr>
          <w:rFonts w:ascii="Times New Roman" w:hAnsi="Times New Roman" w:cs="Times New Roman"/>
        </w:rPr>
      </w:pPr>
      <w:r>
        <w:rPr>
          <w:rFonts w:ascii="Times New Roman" w:hAnsi="Times New Roman" w:cs="Times New Roman"/>
        </w:rPr>
        <w:br w:type="page"/>
      </w:r>
    </w:p>
    <w:p w14:paraId="5DDE6580" w14:textId="77777777" w:rsidR="002C438C" w:rsidRPr="002C438C" w:rsidRDefault="002C438C" w:rsidP="002C438C">
      <w:pPr>
        <w:adjustRightInd w:val="0"/>
        <w:spacing w:before="120" w:after="0" w:line="240" w:lineRule="auto"/>
        <w:jc w:val="center"/>
        <w:rPr>
          <w:rFonts w:ascii="Times New Roman" w:hAnsi="Times New Roman" w:cs="Times New Roman"/>
          <w:i/>
          <w:iCs/>
        </w:rPr>
      </w:pPr>
      <w:r w:rsidRPr="002C438C">
        <w:rPr>
          <w:rFonts w:ascii="Times New Roman" w:hAnsi="Times New Roman" w:cs="Times New Roman"/>
          <w:i/>
          <w:iCs/>
        </w:rPr>
        <w:lastRenderedPageBreak/>
        <w:t>Table 5: GEE analysis of the relationships between IC dimensions and developmental restaurants’ behavior during their transition to Industry 5.0</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2" w:type="dxa"/>
          <w:left w:w="72" w:type="dxa"/>
          <w:bottom w:w="72" w:type="dxa"/>
          <w:right w:w="72" w:type="dxa"/>
        </w:tblCellMar>
        <w:tblLook w:val="0000" w:firstRow="0" w:lastRow="0" w:firstColumn="0" w:lastColumn="0" w:noHBand="0" w:noVBand="0"/>
      </w:tblPr>
      <w:tblGrid>
        <w:gridCol w:w="2978"/>
        <w:gridCol w:w="707"/>
        <w:gridCol w:w="564"/>
        <w:gridCol w:w="984"/>
        <w:gridCol w:w="423"/>
        <w:gridCol w:w="704"/>
        <w:gridCol w:w="706"/>
        <w:gridCol w:w="1163"/>
        <w:gridCol w:w="816"/>
      </w:tblGrid>
      <w:tr w:rsidR="002C438C" w:rsidRPr="002C438C" w14:paraId="0B856E87" w14:textId="77777777" w:rsidTr="002C438C">
        <w:trPr>
          <w:cantSplit/>
          <w:trHeight w:val="20"/>
          <w:jc w:val="center"/>
        </w:trPr>
        <w:tc>
          <w:tcPr>
            <w:tcW w:w="1646" w:type="pct"/>
            <w:vMerge w:val="restart"/>
            <w:shd w:val="clear" w:color="auto" w:fill="FFFFFF"/>
            <w:vAlign w:val="center"/>
          </w:tcPr>
          <w:p w14:paraId="37E8CB53"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Parameter</w:t>
            </w:r>
          </w:p>
        </w:tc>
        <w:tc>
          <w:tcPr>
            <w:tcW w:w="391" w:type="pct"/>
            <w:vMerge w:val="restart"/>
            <w:shd w:val="clear" w:color="auto" w:fill="FFFFFF"/>
            <w:vAlign w:val="center"/>
          </w:tcPr>
          <w:p w14:paraId="78CCF13C"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B</w:t>
            </w:r>
          </w:p>
        </w:tc>
        <w:tc>
          <w:tcPr>
            <w:tcW w:w="312" w:type="pct"/>
            <w:vMerge w:val="restart"/>
            <w:shd w:val="clear" w:color="auto" w:fill="FFFFFF"/>
            <w:vAlign w:val="center"/>
          </w:tcPr>
          <w:p w14:paraId="694F92F0"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SE</w:t>
            </w:r>
          </w:p>
        </w:tc>
        <w:tc>
          <w:tcPr>
            <w:tcW w:w="544" w:type="pct"/>
            <w:vMerge w:val="restart"/>
            <w:shd w:val="clear" w:color="auto" w:fill="FFFFFF"/>
            <w:vAlign w:val="center"/>
          </w:tcPr>
          <w:p w14:paraId="2CC5030A"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Wald Chi-Square</w:t>
            </w:r>
          </w:p>
        </w:tc>
        <w:tc>
          <w:tcPr>
            <w:tcW w:w="234" w:type="pct"/>
            <w:vMerge w:val="restart"/>
            <w:shd w:val="clear" w:color="auto" w:fill="FFFFFF"/>
            <w:vAlign w:val="center"/>
          </w:tcPr>
          <w:p w14:paraId="1D126828"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proofErr w:type="spellStart"/>
            <w:r w:rsidRPr="002C438C">
              <w:rPr>
                <w:rFonts w:ascii="Times New Roman" w:hAnsi="Times New Roman" w:cs="Times New Roman"/>
                <w:b/>
                <w:color w:val="000000"/>
                <w:sz w:val="20"/>
              </w:rPr>
              <w:t>df</w:t>
            </w:r>
            <w:proofErr w:type="spellEnd"/>
          </w:p>
        </w:tc>
        <w:tc>
          <w:tcPr>
            <w:tcW w:w="389" w:type="pct"/>
            <w:vMerge w:val="restart"/>
            <w:shd w:val="clear" w:color="auto" w:fill="FFFFFF"/>
            <w:vAlign w:val="center"/>
          </w:tcPr>
          <w:p w14:paraId="663291FB"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Sig.</w:t>
            </w:r>
          </w:p>
        </w:tc>
        <w:tc>
          <w:tcPr>
            <w:tcW w:w="390" w:type="pct"/>
            <w:vMerge w:val="restart"/>
            <w:shd w:val="clear" w:color="auto" w:fill="FFFFFF"/>
            <w:vAlign w:val="center"/>
          </w:tcPr>
          <w:p w14:paraId="3D174704"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Exp (B)</w:t>
            </w:r>
          </w:p>
        </w:tc>
        <w:tc>
          <w:tcPr>
            <w:tcW w:w="1094" w:type="pct"/>
            <w:gridSpan w:val="2"/>
            <w:shd w:val="clear" w:color="auto" w:fill="FFFFFF"/>
            <w:vAlign w:val="center"/>
          </w:tcPr>
          <w:p w14:paraId="410C2F75"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95% Confidence Interval for Exp(B)</w:t>
            </w:r>
          </w:p>
        </w:tc>
      </w:tr>
      <w:tr w:rsidR="002C438C" w:rsidRPr="002C438C" w14:paraId="33DE41CC" w14:textId="77777777" w:rsidTr="002C438C">
        <w:trPr>
          <w:cantSplit/>
          <w:trHeight w:val="20"/>
          <w:jc w:val="center"/>
        </w:trPr>
        <w:tc>
          <w:tcPr>
            <w:tcW w:w="1646" w:type="pct"/>
            <w:vMerge/>
            <w:shd w:val="clear" w:color="auto" w:fill="FFFFFF"/>
            <w:vAlign w:val="center"/>
          </w:tcPr>
          <w:p w14:paraId="18EDEE69"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p>
        </w:tc>
        <w:tc>
          <w:tcPr>
            <w:tcW w:w="391" w:type="pct"/>
            <w:vMerge/>
            <w:shd w:val="clear" w:color="auto" w:fill="FFFFFF"/>
            <w:vAlign w:val="center"/>
          </w:tcPr>
          <w:p w14:paraId="7AE002EA"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p>
        </w:tc>
        <w:tc>
          <w:tcPr>
            <w:tcW w:w="312" w:type="pct"/>
            <w:vMerge/>
            <w:shd w:val="clear" w:color="auto" w:fill="FFFFFF"/>
            <w:vAlign w:val="center"/>
          </w:tcPr>
          <w:p w14:paraId="7EDCC3DD"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p>
        </w:tc>
        <w:tc>
          <w:tcPr>
            <w:tcW w:w="544" w:type="pct"/>
            <w:vMerge/>
            <w:shd w:val="clear" w:color="auto" w:fill="FFFFFF"/>
            <w:vAlign w:val="center"/>
          </w:tcPr>
          <w:p w14:paraId="7652F509"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p>
        </w:tc>
        <w:tc>
          <w:tcPr>
            <w:tcW w:w="234" w:type="pct"/>
            <w:vMerge/>
            <w:shd w:val="clear" w:color="auto" w:fill="FFFFFF"/>
            <w:vAlign w:val="center"/>
          </w:tcPr>
          <w:p w14:paraId="678F4EEE"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p>
        </w:tc>
        <w:tc>
          <w:tcPr>
            <w:tcW w:w="389" w:type="pct"/>
            <w:vMerge/>
            <w:shd w:val="clear" w:color="auto" w:fill="FFFFFF"/>
            <w:vAlign w:val="center"/>
          </w:tcPr>
          <w:p w14:paraId="7FD3F99E"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p>
        </w:tc>
        <w:tc>
          <w:tcPr>
            <w:tcW w:w="390" w:type="pct"/>
            <w:vMerge/>
            <w:shd w:val="clear" w:color="auto" w:fill="FFFFFF"/>
            <w:vAlign w:val="center"/>
          </w:tcPr>
          <w:p w14:paraId="021C1797"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p>
        </w:tc>
        <w:tc>
          <w:tcPr>
            <w:tcW w:w="643" w:type="pct"/>
            <w:shd w:val="clear" w:color="auto" w:fill="FFFFFF"/>
            <w:vAlign w:val="center"/>
          </w:tcPr>
          <w:p w14:paraId="0AC1B2A2"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Lower</w:t>
            </w:r>
          </w:p>
        </w:tc>
        <w:tc>
          <w:tcPr>
            <w:tcW w:w="451" w:type="pct"/>
            <w:shd w:val="clear" w:color="auto" w:fill="FFFFFF"/>
            <w:vAlign w:val="center"/>
          </w:tcPr>
          <w:p w14:paraId="43EE9BDD" w14:textId="77777777" w:rsidR="002C438C" w:rsidRPr="002C438C" w:rsidRDefault="002C438C" w:rsidP="002C438C">
            <w:pPr>
              <w:adjustRightIn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Upper</w:t>
            </w:r>
          </w:p>
        </w:tc>
      </w:tr>
      <w:tr w:rsidR="002C438C" w:rsidRPr="002C438C" w14:paraId="6FDAA9A4" w14:textId="77777777" w:rsidTr="002C438C">
        <w:trPr>
          <w:cantSplit/>
          <w:trHeight w:val="20"/>
          <w:jc w:val="center"/>
        </w:trPr>
        <w:tc>
          <w:tcPr>
            <w:tcW w:w="1646" w:type="pct"/>
            <w:shd w:val="clear" w:color="auto" w:fill="FFFFFF"/>
            <w:vAlign w:val="center"/>
          </w:tcPr>
          <w:p w14:paraId="708EF57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(Intercept)</w:t>
            </w:r>
          </w:p>
        </w:tc>
        <w:tc>
          <w:tcPr>
            <w:tcW w:w="391" w:type="pct"/>
            <w:shd w:val="clear" w:color="auto" w:fill="FFFFFF"/>
            <w:vAlign w:val="center"/>
          </w:tcPr>
          <w:p w14:paraId="376BC593"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.832</w:t>
            </w:r>
          </w:p>
        </w:tc>
        <w:tc>
          <w:tcPr>
            <w:tcW w:w="312" w:type="pct"/>
            <w:shd w:val="clear" w:color="auto" w:fill="FFFFFF"/>
            <w:vAlign w:val="center"/>
          </w:tcPr>
          <w:p w14:paraId="3C876F3F"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.079</w:t>
            </w:r>
          </w:p>
        </w:tc>
        <w:tc>
          <w:tcPr>
            <w:tcW w:w="544" w:type="pct"/>
            <w:shd w:val="clear" w:color="auto" w:fill="FFFFFF"/>
            <w:vAlign w:val="center"/>
          </w:tcPr>
          <w:p w14:paraId="32C38B5F"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109.943</w:t>
            </w:r>
          </w:p>
        </w:tc>
        <w:tc>
          <w:tcPr>
            <w:tcW w:w="234" w:type="pct"/>
            <w:shd w:val="clear" w:color="auto" w:fill="FFFFFF"/>
            <w:vAlign w:val="center"/>
          </w:tcPr>
          <w:p w14:paraId="12C679EE"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89" w:type="pct"/>
            <w:shd w:val="clear" w:color="auto" w:fill="FFFFFF"/>
            <w:vAlign w:val="center"/>
          </w:tcPr>
          <w:p w14:paraId="63405EB3"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90" w:type="pct"/>
            <w:shd w:val="clear" w:color="auto" w:fill="FFFFFF"/>
            <w:vAlign w:val="center"/>
          </w:tcPr>
          <w:p w14:paraId="377DDE8E"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2.298</w:t>
            </w:r>
          </w:p>
        </w:tc>
        <w:tc>
          <w:tcPr>
            <w:tcW w:w="643" w:type="pct"/>
            <w:shd w:val="clear" w:color="auto" w:fill="FFFFFF"/>
            <w:vAlign w:val="center"/>
          </w:tcPr>
          <w:p w14:paraId="72CFCC25"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1.967</w:t>
            </w:r>
          </w:p>
        </w:tc>
        <w:tc>
          <w:tcPr>
            <w:tcW w:w="451" w:type="pct"/>
            <w:shd w:val="clear" w:color="auto" w:fill="FFFFFF"/>
            <w:vAlign w:val="center"/>
          </w:tcPr>
          <w:p w14:paraId="28D78A20"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2.684</w:t>
            </w:r>
          </w:p>
        </w:tc>
      </w:tr>
      <w:tr w:rsidR="002C438C" w:rsidRPr="002C438C" w14:paraId="531582FB" w14:textId="77777777" w:rsidTr="002C438C">
        <w:trPr>
          <w:cantSplit/>
          <w:trHeight w:val="20"/>
          <w:jc w:val="center"/>
        </w:trPr>
        <w:tc>
          <w:tcPr>
            <w:tcW w:w="1646" w:type="pct"/>
            <w:shd w:val="clear" w:color="auto" w:fill="FFFFFF"/>
            <w:vAlign w:val="center"/>
          </w:tcPr>
          <w:p w14:paraId="32AAE560"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w:t>
            </w:r>
          </w:p>
        </w:tc>
        <w:tc>
          <w:tcPr>
            <w:tcW w:w="391" w:type="pct"/>
            <w:shd w:val="clear" w:color="auto" w:fill="FFFFFF"/>
            <w:vAlign w:val="center"/>
          </w:tcPr>
          <w:p w14:paraId="612E63D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.014</w:t>
            </w:r>
          </w:p>
        </w:tc>
        <w:tc>
          <w:tcPr>
            <w:tcW w:w="312" w:type="pct"/>
            <w:shd w:val="clear" w:color="auto" w:fill="FFFFFF"/>
            <w:vAlign w:val="center"/>
          </w:tcPr>
          <w:p w14:paraId="4BB86839"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544" w:type="pct"/>
            <w:shd w:val="clear" w:color="auto" w:fill="FFFFFF"/>
            <w:vAlign w:val="center"/>
          </w:tcPr>
          <w:p w14:paraId="7C8332F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8.573</w:t>
            </w:r>
          </w:p>
        </w:tc>
        <w:tc>
          <w:tcPr>
            <w:tcW w:w="234" w:type="pct"/>
            <w:shd w:val="clear" w:color="auto" w:fill="FFFFFF"/>
            <w:vAlign w:val="center"/>
          </w:tcPr>
          <w:p w14:paraId="5047FD69"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89" w:type="pct"/>
            <w:shd w:val="clear" w:color="auto" w:fill="FFFFFF"/>
            <w:vAlign w:val="center"/>
          </w:tcPr>
          <w:p w14:paraId="74D17564"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.003</w:t>
            </w:r>
          </w:p>
        </w:tc>
        <w:tc>
          <w:tcPr>
            <w:tcW w:w="390" w:type="pct"/>
            <w:shd w:val="clear" w:color="auto" w:fill="FFFFFF"/>
            <w:vAlign w:val="center"/>
          </w:tcPr>
          <w:p w14:paraId="22916BC6"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1.015</w:t>
            </w:r>
          </w:p>
        </w:tc>
        <w:tc>
          <w:tcPr>
            <w:tcW w:w="643" w:type="pct"/>
            <w:shd w:val="clear" w:color="auto" w:fill="FFFFFF"/>
            <w:vAlign w:val="center"/>
          </w:tcPr>
          <w:p w14:paraId="3FE05AE1"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1.005</w:t>
            </w:r>
          </w:p>
        </w:tc>
        <w:tc>
          <w:tcPr>
            <w:tcW w:w="451" w:type="pct"/>
            <w:shd w:val="clear" w:color="auto" w:fill="FFFFFF"/>
            <w:vAlign w:val="center"/>
          </w:tcPr>
          <w:p w14:paraId="1D0B3C50"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1.024</w:t>
            </w:r>
          </w:p>
        </w:tc>
      </w:tr>
      <w:tr w:rsidR="002C438C" w:rsidRPr="002C438C" w14:paraId="2985E1B6" w14:textId="77777777" w:rsidTr="002C438C">
        <w:trPr>
          <w:cantSplit/>
          <w:trHeight w:val="20"/>
          <w:jc w:val="center"/>
        </w:trPr>
        <w:tc>
          <w:tcPr>
            <w:tcW w:w="1646" w:type="pct"/>
            <w:shd w:val="clear" w:color="auto" w:fill="FFFFFF"/>
            <w:vAlign w:val="center"/>
          </w:tcPr>
          <w:p w14:paraId="7B4EC0AE"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w:t>
            </w:r>
          </w:p>
        </w:tc>
        <w:tc>
          <w:tcPr>
            <w:tcW w:w="391" w:type="pct"/>
            <w:shd w:val="clear" w:color="auto" w:fill="FFFFFF"/>
            <w:vAlign w:val="center"/>
          </w:tcPr>
          <w:p w14:paraId="1742C9D3"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12" w:type="pct"/>
            <w:shd w:val="clear" w:color="auto" w:fill="FFFFFF"/>
            <w:vAlign w:val="center"/>
          </w:tcPr>
          <w:p w14:paraId="78456BCE"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44" w:type="pct"/>
            <w:shd w:val="clear" w:color="auto" w:fill="FFFFFF"/>
            <w:vAlign w:val="center"/>
          </w:tcPr>
          <w:p w14:paraId="1A45BAF8"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34" w:type="pct"/>
            <w:shd w:val="clear" w:color="auto" w:fill="FFFFFF"/>
            <w:vAlign w:val="center"/>
          </w:tcPr>
          <w:p w14:paraId="00227CC3"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4618EEF3"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90" w:type="pct"/>
            <w:shd w:val="clear" w:color="auto" w:fill="FFFFFF"/>
            <w:vAlign w:val="center"/>
          </w:tcPr>
          <w:p w14:paraId="4593BD44"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643" w:type="pct"/>
            <w:shd w:val="clear" w:color="auto" w:fill="FFFFFF"/>
            <w:vAlign w:val="center"/>
          </w:tcPr>
          <w:p w14:paraId="4FD0AB86"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51" w:type="pct"/>
            <w:shd w:val="clear" w:color="auto" w:fill="FFFFFF"/>
            <w:vAlign w:val="center"/>
          </w:tcPr>
          <w:p w14:paraId="13511B0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6D9E83AE" w14:textId="77777777" w:rsidTr="002C438C">
        <w:trPr>
          <w:cantSplit/>
          <w:trHeight w:val="20"/>
          <w:jc w:val="center"/>
        </w:trPr>
        <w:tc>
          <w:tcPr>
            <w:tcW w:w="1646" w:type="pct"/>
            <w:shd w:val="clear" w:color="auto" w:fill="FFFFFF"/>
            <w:vAlign w:val="center"/>
          </w:tcPr>
          <w:p w14:paraId="1030CF9F"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Human Capital</w:t>
            </w:r>
          </w:p>
        </w:tc>
        <w:tc>
          <w:tcPr>
            <w:tcW w:w="391" w:type="pct"/>
            <w:shd w:val="clear" w:color="auto" w:fill="FFFFFF"/>
            <w:vAlign w:val="center"/>
          </w:tcPr>
          <w:p w14:paraId="3B99CBB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12" w:type="pct"/>
            <w:shd w:val="clear" w:color="auto" w:fill="FFFFFF"/>
            <w:vAlign w:val="center"/>
          </w:tcPr>
          <w:p w14:paraId="162849B4"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544" w:type="pct"/>
            <w:shd w:val="clear" w:color="auto" w:fill="FFFFFF"/>
            <w:vAlign w:val="center"/>
          </w:tcPr>
          <w:p w14:paraId="22A0304C"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.062</w:t>
            </w:r>
          </w:p>
        </w:tc>
        <w:tc>
          <w:tcPr>
            <w:tcW w:w="234" w:type="pct"/>
            <w:shd w:val="clear" w:color="auto" w:fill="FFFFFF"/>
            <w:vAlign w:val="center"/>
          </w:tcPr>
          <w:p w14:paraId="76698608"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89" w:type="pct"/>
            <w:shd w:val="clear" w:color="auto" w:fill="FFFFFF"/>
            <w:vAlign w:val="center"/>
          </w:tcPr>
          <w:p w14:paraId="4947EA79"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.803</w:t>
            </w:r>
          </w:p>
        </w:tc>
        <w:tc>
          <w:tcPr>
            <w:tcW w:w="390" w:type="pct"/>
            <w:shd w:val="clear" w:color="auto" w:fill="FFFFFF"/>
            <w:vAlign w:val="center"/>
          </w:tcPr>
          <w:p w14:paraId="66FB10A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c>
          <w:tcPr>
            <w:tcW w:w="643" w:type="pct"/>
            <w:shd w:val="clear" w:color="auto" w:fill="FFFFFF"/>
            <w:vAlign w:val="center"/>
          </w:tcPr>
          <w:p w14:paraId="48BBAC31"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.997</w:t>
            </w:r>
          </w:p>
        </w:tc>
        <w:tc>
          <w:tcPr>
            <w:tcW w:w="451" w:type="pct"/>
            <w:shd w:val="clear" w:color="auto" w:fill="FFFFFF"/>
            <w:vAlign w:val="center"/>
          </w:tcPr>
          <w:p w14:paraId="62C9AA7E"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1.002</w:t>
            </w:r>
          </w:p>
        </w:tc>
      </w:tr>
      <w:tr w:rsidR="002C438C" w:rsidRPr="002C438C" w14:paraId="607C5FA9" w14:textId="77777777" w:rsidTr="002C438C">
        <w:trPr>
          <w:cantSplit/>
          <w:trHeight w:val="20"/>
          <w:jc w:val="center"/>
        </w:trPr>
        <w:tc>
          <w:tcPr>
            <w:tcW w:w="1646" w:type="pct"/>
            <w:shd w:val="clear" w:color="auto" w:fill="FFFFFF"/>
            <w:vAlign w:val="center"/>
          </w:tcPr>
          <w:p w14:paraId="752E973B"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Relational Capital</w:t>
            </w:r>
          </w:p>
        </w:tc>
        <w:tc>
          <w:tcPr>
            <w:tcW w:w="391" w:type="pct"/>
            <w:shd w:val="clear" w:color="auto" w:fill="FFFFFF"/>
            <w:vAlign w:val="center"/>
          </w:tcPr>
          <w:p w14:paraId="176C975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.583</w:t>
            </w:r>
          </w:p>
        </w:tc>
        <w:tc>
          <w:tcPr>
            <w:tcW w:w="312" w:type="pct"/>
            <w:shd w:val="clear" w:color="auto" w:fill="FFFFFF"/>
            <w:vAlign w:val="center"/>
          </w:tcPr>
          <w:p w14:paraId="3BF79809"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.272</w:t>
            </w:r>
          </w:p>
        </w:tc>
        <w:tc>
          <w:tcPr>
            <w:tcW w:w="544" w:type="pct"/>
            <w:shd w:val="clear" w:color="auto" w:fill="FFFFFF"/>
            <w:vAlign w:val="center"/>
          </w:tcPr>
          <w:p w14:paraId="2490758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4.593</w:t>
            </w:r>
          </w:p>
        </w:tc>
        <w:tc>
          <w:tcPr>
            <w:tcW w:w="234" w:type="pct"/>
            <w:shd w:val="clear" w:color="auto" w:fill="FFFFFF"/>
            <w:vAlign w:val="center"/>
          </w:tcPr>
          <w:p w14:paraId="54F970DE"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89" w:type="pct"/>
            <w:shd w:val="clear" w:color="auto" w:fill="FFFFFF"/>
            <w:vAlign w:val="center"/>
          </w:tcPr>
          <w:p w14:paraId="006BD0AA"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.032</w:t>
            </w:r>
          </w:p>
        </w:tc>
        <w:tc>
          <w:tcPr>
            <w:tcW w:w="390" w:type="pct"/>
            <w:shd w:val="clear" w:color="auto" w:fill="FFFFFF"/>
            <w:vAlign w:val="center"/>
          </w:tcPr>
          <w:p w14:paraId="4330BF55"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1.792</w:t>
            </w:r>
          </w:p>
        </w:tc>
        <w:tc>
          <w:tcPr>
            <w:tcW w:w="643" w:type="pct"/>
            <w:shd w:val="clear" w:color="auto" w:fill="FFFFFF"/>
            <w:vAlign w:val="center"/>
          </w:tcPr>
          <w:p w14:paraId="4028F4D9"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1.052</w:t>
            </w:r>
          </w:p>
        </w:tc>
        <w:tc>
          <w:tcPr>
            <w:tcW w:w="451" w:type="pct"/>
            <w:shd w:val="clear" w:color="auto" w:fill="FFFFFF"/>
            <w:vAlign w:val="center"/>
          </w:tcPr>
          <w:p w14:paraId="7E460D6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3.053</w:t>
            </w:r>
          </w:p>
        </w:tc>
      </w:tr>
      <w:tr w:rsidR="002C438C" w:rsidRPr="002C438C" w14:paraId="78D9330D" w14:textId="77777777" w:rsidTr="002C438C">
        <w:trPr>
          <w:cantSplit/>
          <w:trHeight w:val="20"/>
          <w:jc w:val="center"/>
        </w:trPr>
        <w:tc>
          <w:tcPr>
            <w:tcW w:w="1646" w:type="pct"/>
            <w:shd w:val="clear" w:color="auto" w:fill="FFFFFF"/>
            <w:vAlign w:val="center"/>
          </w:tcPr>
          <w:p w14:paraId="1E6EC85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Structural Capital</w:t>
            </w:r>
          </w:p>
        </w:tc>
        <w:tc>
          <w:tcPr>
            <w:tcW w:w="391" w:type="pct"/>
            <w:shd w:val="clear" w:color="auto" w:fill="FFFFFF"/>
            <w:vAlign w:val="center"/>
          </w:tcPr>
          <w:p w14:paraId="1B0955D4"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12" w:type="pct"/>
            <w:shd w:val="clear" w:color="auto" w:fill="FFFFFF"/>
            <w:vAlign w:val="center"/>
          </w:tcPr>
          <w:p w14:paraId="502E68C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544" w:type="pct"/>
            <w:shd w:val="clear" w:color="auto" w:fill="FFFFFF"/>
            <w:vAlign w:val="center"/>
          </w:tcPr>
          <w:p w14:paraId="1F766E11"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3.664</w:t>
            </w:r>
          </w:p>
        </w:tc>
        <w:tc>
          <w:tcPr>
            <w:tcW w:w="234" w:type="pct"/>
            <w:shd w:val="clear" w:color="auto" w:fill="FFFFFF"/>
            <w:vAlign w:val="center"/>
          </w:tcPr>
          <w:p w14:paraId="1D693880"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89" w:type="pct"/>
            <w:shd w:val="clear" w:color="auto" w:fill="FFFFFF"/>
            <w:vAlign w:val="center"/>
          </w:tcPr>
          <w:p w14:paraId="68A9546C"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.056</w:t>
            </w:r>
          </w:p>
        </w:tc>
        <w:tc>
          <w:tcPr>
            <w:tcW w:w="390" w:type="pct"/>
            <w:shd w:val="clear" w:color="auto" w:fill="FFFFFF"/>
            <w:vAlign w:val="center"/>
          </w:tcPr>
          <w:p w14:paraId="4318AFD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c>
          <w:tcPr>
            <w:tcW w:w="643" w:type="pct"/>
            <w:shd w:val="clear" w:color="auto" w:fill="FFFFFF"/>
            <w:vAlign w:val="center"/>
          </w:tcPr>
          <w:p w14:paraId="251EA79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c>
          <w:tcPr>
            <w:tcW w:w="451" w:type="pct"/>
            <w:shd w:val="clear" w:color="auto" w:fill="FFFFFF"/>
            <w:vAlign w:val="center"/>
          </w:tcPr>
          <w:p w14:paraId="240F4510"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r>
      <w:tr w:rsidR="002C438C" w:rsidRPr="002C438C" w14:paraId="75967788" w14:textId="77777777" w:rsidTr="002C438C">
        <w:trPr>
          <w:cantSplit/>
          <w:trHeight w:val="20"/>
          <w:jc w:val="center"/>
        </w:trPr>
        <w:tc>
          <w:tcPr>
            <w:tcW w:w="1646" w:type="pct"/>
            <w:shd w:val="clear" w:color="auto" w:fill="FFFFFF"/>
            <w:vAlign w:val="center"/>
          </w:tcPr>
          <w:p w14:paraId="3F887B6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Human Capital</w:t>
            </w:r>
          </w:p>
        </w:tc>
        <w:tc>
          <w:tcPr>
            <w:tcW w:w="391" w:type="pct"/>
            <w:shd w:val="clear" w:color="auto" w:fill="FFFFFF"/>
            <w:vAlign w:val="center"/>
          </w:tcPr>
          <w:p w14:paraId="71F3C841"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.489</w:t>
            </w:r>
          </w:p>
        </w:tc>
        <w:tc>
          <w:tcPr>
            <w:tcW w:w="312" w:type="pct"/>
            <w:shd w:val="clear" w:color="auto" w:fill="FFFFFF"/>
            <w:vAlign w:val="center"/>
          </w:tcPr>
          <w:p w14:paraId="305666A4"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.241</w:t>
            </w:r>
          </w:p>
        </w:tc>
        <w:tc>
          <w:tcPr>
            <w:tcW w:w="544" w:type="pct"/>
            <w:shd w:val="clear" w:color="auto" w:fill="FFFFFF"/>
            <w:vAlign w:val="center"/>
          </w:tcPr>
          <w:p w14:paraId="7DAC735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4.135</w:t>
            </w:r>
          </w:p>
        </w:tc>
        <w:tc>
          <w:tcPr>
            <w:tcW w:w="234" w:type="pct"/>
            <w:shd w:val="clear" w:color="auto" w:fill="FFFFFF"/>
            <w:vAlign w:val="center"/>
          </w:tcPr>
          <w:p w14:paraId="5BD1178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89" w:type="pct"/>
            <w:shd w:val="clear" w:color="auto" w:fill="FFFFFF"/>
            <w:vAlign w:val="center"/>
          </w:tcPr>
          <w:p w14:paraId="7F7FC6D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.042</w:t>
            </w:r>
          </w:p>
        </w:tc>
        <w:tc>
          <w:tcPr>
            <w:tcW w:w="390" w:type="pct"/>
            <w:shd w:val="clear" w:color="auto" w:fill="FFFFFF"/>
            <w:vAlign w:val="center"/>
          </w:tcPr>
          <w:p w14:paraId="63FC2688"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1.631</w:t>
            </w:r>
          </w:p>
        </w:tc>
        <w:tc>
          <w:tcPr>
            <w:tcW w:w="643" w:type="pct"/>
            <w:shd w:val="clear" w:color="auto" w:fill="FFFFFF"/>
            <w:vAlign w:val="center"/>
          </w:tcPr>
          <w:p w14:paraId="5B5F162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1.017</w:t>
            </w:r>
          </w:p>
        </w:tc>
        <w:tc>
          <w:tcPr>
            <w:tcW w:w="451" w:type="pct"/>
            <w:shd w:val="clear" w:color="auto" w:fill="FFFFFF"/>
            <w:vAlign w:val="center"/>
          </w:tcPr>
          <w:p w14:paraId="69E0F150"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2.616</w:t>
            </w:r>
          </w:p>
        </w:tc>
      </w:tr>
      <w:tr w:rsidR="002C438C" w:rsidRPr="002C438C" w14:paraId="5D5FCF84" w14:textId="77777777" w:rsidTr="002C438C">
        <w:trPr>
          <w:cantSplit/>
          <w:trHeight w:val="20"/>
          <w:jc w:val="center"/>
        </w:trPr>
        <w:tc>
          <w:tcPr>
            <w:tcW w:w="1646" w:type="pct"/>
            <w:shd w:val="clear" w:color="auto" w:fill="FFFFFF"/>
            <w:vAlign w:val="center"/>
          </w:tcPr>
          <w:p w14:paraId="287484B5"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Human Capital</w:t>
            </w:r>
          </w:p>
        </w:tc>
        <w:tc>
          <w:tcPr>
            <w:tcW w:w="391" w:type="pct"/>
            <w:shd w:val="clear" w:color="auto" w:fill="FFFFFF"/>
            <w:vAlign w:val="center"/>
          </w:tcPr>
          <w:p w14:paraId="1913E79A"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12" w:type="pct"/>
            <w:shd w:val="clear" w:color="auto" w:fill="FFFFFF"/>
            <w:vAlign w:val="center"/>
          </w:tcPr>
          <w:p w14:paraId="2BA8BC3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44" w:type="pct"/>
            <w:shd w:val="clear" w:color="auto" w:fill="FFFFFF"/>
            <w:vAlign w:val="center"/>
          </w:tcPr>
          <w:p w14:paraId="034A39F8"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34" w:type="pct"/>
            <w:shd w:val="clear" w:color="auto" w:fill="FFFFFF"/>
            <w:vAlign w:val="center"/>
          </w:tcPr>
          <w:p w14:paraId="519E8F59"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4AEE2246"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90" w:type="pct"/>
            <w:shd w:val="clear" w:color="auto" w:fill="FFFFFF"/>
            <w:vAlign w:val="center"/>
          </w:tcPr>
          <w:p w14:paraId="2CA5B936"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643" w:type="pct"/>
            <w:shd w:val="clear" w:color="auto" w:fill="FFFFFF"/>
            <w:vAlign w:val="center"/>
          </w:tcPr>
          <w:p w14:paraId="6CBF280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51" w:type="pct"/>
            <w:shd w:val="clear" w:color="auto" w:fill="FFFFFF"/>
            <w:vAlign w:val="center"/>
          </w:tcPr>
          <w:p w14:paraId="7C6F8575"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2247C016" w14:textId="77777777" w:rsidTr="002C438C">
        <w:trPr>
          <w:cantSplit/>
          <w:trHeight w:val="20"/>
          <w:jc w:val="center"/>
        </w:trPr>
        <w:tc>
          <w:tcPr>
            <w:tcW w:w="1646" w:type="pct"/>
            <w:shd w:val="clear" w:color="auto" w:fill="FFFFFF"/>
            <w:vAlign w:val="center"/>
          </w:tcPr>
          <w:p w14:paraId="3FA8D81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Relational Capital</w:t>
            </w:r>
          </w:p>
        </w:tc>
        <w:tc>
          <w:tcPr>
            <w:tcW w:w="391" w:type="pct"/>
            <w:shd w:val="clear" w:color="auto" w:fill="FFFFFF"/>
            <w:vAlign w:val="center"/>
          </w:tcPr>
          <w:p w14:paraId="4B76BBBA"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-.246</w:t>
            </w:r>
          </w:p>
        </w:tc>
        <w:tc>
          <w:tcPr>
            <w:tcW w:w="312" w:type="pct"/>
            <w:shd w:val="clear" w:color="auto" w:fill="FFFFFF"/>
            <w:vAlign w:val="center"/>
          </w:tcPr>
          <w:p w14:paraId="250CB274"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.219</w:t>
            </w:r>
          </w:p>
        </w:tc>
        <w:tc>
          <w:tcPr>
            <w:tcW w:w="544" w:type="pct"/>
            <w:shd w:val="clear" w:color="auto" w:fill="FFFFFF"/>
            <w:vAlign w:val="center"/>
          </w:tcPr>
          <w:p w14:paraId="7326C47C"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1.260</w:t>
            </w:r>
          </w:p>
        </w:tc>
        <w:tc>
          <w:tcPr>
            <w:tcW w:w="234" w:type="pct"/>
            <w:shd w:val="clear" w:color="auto" w:fill="FFFFFF"/>
            <w:vAlign w:val="center"/>
          </w:tcPr>
          <w:p w14:paraId="314CB9AA"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89" w:type="pct"/>
            <w:shd w:val="clear" w:color="auto" w:fill="FFFFFF"/>
            <w:vAlign w:val="center"/>
          </w:tcPr>
          <w:p w14:paraId="677B88E5"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.262</w:t>
            </w:r>
          </w:p>
        </w:tc>
        <w:tc>
          <w:tcPr>
            <w:tcW w:w="390" w:type="pct"/>
            <w:shd w:val="clear" w:color="auto" w:fill="FFFFFF"/>
            <w:vAlign w:val="center"/>
          </w:tcPr>
          <w:p w14:paraId="093FA6BE"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0.782</w:t>
            </w:r>
          </w:p>
        </w:tc>
        <w:tc>
          <w:tcPr>
            <w:tcW w:w="643" w:type="pct"/>
            <w:shd w:val="clear" w:color="auto" w:fill="FFFFFF"/>
            <w:vAlign w:val="center"/>
          </w:tcPr>
          <w:p w14:paraId="69EC6990"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.509</w:t>
            </w:r>
          </w:p>
        </w:tc>
        <w:tc>
          <w:tcPr>
            <w:tcW w:w="451" w:type="pct"/>
            <w:shd w:val="clear" w:color="auto" w:fill="FFFFFF"/>
            <w:vAlign w:val="center"/>
          </w:tcPr>
          <w:p w14:paraId="2D9AAF6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1.202</w:t>
            </w:r>
          </w:p>
        </w:tc>
      </w:tr>
      <w:tr w:rsidR="002C438C" w:rsidRPr="002C438C" w14:paraId="012A3B97" w14:textId="77777777" w:rsidTr="002C438C">
        <w:trPr>
          <w:cantSplit/>
          <w:trHeight w:val="20"/>
          <w:jc w:val="center"/>
        </w:trPr>
        <w:tc>
          <w:tcPr>
            <w:tcW w:w="1646" w:type="pct"/>
            <w:shd w:val="clear" w:color="auto" w:fill="FFFFFF"/>
            <w:vAlign w:val="center"/>
          </w:tcPr>
          <w:p w14:paraId="35A0D24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Relational Capital</w:t>
            </w:r>
          </w:p>
        </w:tc>
        <w:tc>
          <w:tcPr>
            <w:tcW w:w="391" w:type="pct"/>
            <w:shd w:val="clear" w:color="auto" w:fill="FFFFFF"/>
            <w:vAlign w:val="center"/>
          </w:tcPr>
          <w:p w14:paraId="75AFAFC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12" w:type="pct"/>
            <w:shd w:val="clear" w:color="auto" w:fill="FFFFFF"/>
            <w:vAlign w:val="center"/>
          </w:tcPr>
          <w:p w14:paraId="6FF84CA5"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44" w:type="pct"/>
            <w:shd w:val="clear" w:color="auto" w:fill="FFFFFF"/>
            <w:vAlign w:val="center"/>
          </w:tcPr>
          <w:p w14:paraId="23A15BD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34" w:type="pct"/>
            <w:shd w:val="clear" w:color="auto" w:fill="FFFFFF"/>
            <w:vAlign w:val="center"/>
          </w:tcPr>
          <w:p w14:paraId="004D115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279FD07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90" w:type="pct"/>
            <w:shd w:val="clear" w:color="auto" w:fill="FFFFFF"/>
            <w:vAlign w:val="center"/>
          </w:tcPr>
          <w:p w14:paraId="390E0BA0"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643" w:type="pct"/>
            <w:shd w:val="clear" w:color="auto" w:fill="FFFFFF"/>
            <w:vAlign w:val="center"/>
          </w:tcPr>
          <w:p w14:paraId="6AE0D489"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51" w:type="pct"/>
            <w:shd w:val="clear" w:color="auto" w:fill="FFFFFF"/>
            <w:vAlign w:val="center"/>
          </w:tcPr>
          <w:p w14:paraId="4E467CB0"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2F74DEDC" w14:textId="77777777" w:rsidTr="002C438C">
        <w:trPr>
          <w:cantSplit/>
          <w:trHeight w:val="20"/>
          <w:jc w:val="center"/>
        </w:trPr>
        <w:tc>
          <w:tcPr>
            <w:tcW w:w="1646" w:type="pct"/>
            <w:shd w:val="clear" w:color="auto" w:fill="FFFFFF"/>
            <w:vAlign w:val="center"/>
          </w:tcPr>
          <w:p w14:paraId="4C3CC68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Structural Capital</w:t>
            </w:r>
          </w:p>
        </w:tc>
        <w:tc>
          <w:tcPr>
            <w:tcW w:w="391" w:type="pct"/>
            <w:shd w:val="clear" w:color="auto" w:fill="FFFFFF"/>
            <w:vAlign w:val="center"/>
          </w:tcPr>
          <w:p w14:paraId="5299FFFD"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312" w:type="pct"/>
            <w:shd w:val="clear" w:color="auto" w:fill="FFFFFF"/>
            <w:vAlign w:val="center"/>
          </w:tcPr>
          <w:p w14:paraId="78FE805F"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544" w:type="pct"/>
            <w:shd w:val="clear" w:color="auto" w:fill="FFFFFF"/>
            <w:vAlign w:val="center"/>
          </w:tcPr>
          <w:p w14:paraId="568FB931"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73.985</w:t>
            </w:r>
          </w:p>
        </w:tc>
        <w:tc>
          <w:tcPr>
            <w:tcW w:w="234" w:type="pct"/>
            <w:shd w:val="clear" w:color="auto" w:fill="FFFFFF"/>
            <w:vAlign w:val="center"/>
          </w:tcPr>
          <w:p w14:paraId="62C0703B"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89" w:type="pct"/>
            <w:shd w:val="clear" w:color="auto" w:fill="FFFFFF"/>
            <w:vAlign w:val="center"/>
          </w:tcPr>
          <w:p w14:paraId="0B9E62B3"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90" w:type="pct"/>
            <w:shd w:val="clear" w:color="auto" w:fill="FFFFFF"/>
            <w:vAlign w:val="center"/>
          </w:tcPr>
          <w:p w14:paraId="563D29A5"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.996</w:t>
            </w:r>
          </w:p>
        </w:tc>
        <w:tc>
          <w:tcPr>
            <w:tcW w:w="643" w:type="pct"/>
            <w:shd w:val="clear" w:color="auto" w:fill="FFFFFF"/>
            <w:vAlign w:val="center"/>
          </w:tcPr>
          <w:p w14:paraId="037376C3"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.996</w:t>
            </w:r>
          </w:p>
        </w:tc>
        <w:tc>
          <w:tcPr>
            <w:tcW w:w="451" w:type="pct"/>
            <w:shd w:val="clear" w:color="auto" w:fill="FFFFFF"/>
            <w:vAlign w:val="center"/>
          </w:tcPr>
          <w:p w14:paraId="7F9FC5D1"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.997</w:t>
            </w:r>
          </w:p>
        </w:tc>
      </w:tr>
      <w:tr w:rsidR="002C438C" w:rsidRPr="002C438C" w14:paraId="1129688E" w14:textId="77777777" w:rsidTr="002C438C">
        <w:trPr>
          <w:cantSplit/>
          <w:trHeight w:val="20"/>
          <w:jc w:val="center"/>
        </w:trPr>
        <w:tc>
          <w:tcPr>
            <w:tcW w:w="1646" w:type="pct"/>
            <w:shd w:val="clear" w:color="auto" w:fill="FFFFFF"/>
            <w:vAlign w:val="center"/>
          </w:tcPr>
          <w:p w14:paraId="3196622F"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Structural Capital</w:t>
            </w:r>
          </w:p>
        </w:tc>
        <w:tc>
          <w:tcPr>
            <w:tcW w:w="391" w:type="pct"/>
            <w:shd w:val="clear" w:color="auto" w:fill="FFFFFF"/>
            <w:vAlign w:val="center"/>
          </w:tcPr>
          <w:p w14:paraId="71416AC1"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12" w:type="pct"/>
            <w:shd w:val="clear" w:color="auto" w:fill="FFFFFF"/>
            <w:vAlign w:val="center"/>
          </w:tcPr>
          <w:p w14:paraId="75A96B77"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44" w:type="pct"/>
            <w:shd w:val="clear" w:color="auto" w:fill="FFFFFF"/>
            <w:vAlign w:val="center"/>
          </w:tcPr>
          <w:p w14:paraId="7F8CB015"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34" w:type="pct"/>
            <w:shd w:val="clear" w:color="auto" w:fill="FFFFFF"/>
            <w:vAlign w:val="center"/>
          </w:tcPr>
          <w:p w14:paraId="534C1F9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2A640D51"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90" w:type="pct"/>
            <w:shd w:val="clear" w:color="auto" w:fill="FFFFFF"/>
            <w:vAlign w:val="center"/>
          </w:tcPr>
          <w:p w14:paraId="5B5F97C5"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643" w:type="pct"/>
            <w:shd w:val="clear" w:color="auto" w:fill="FFFFFF"/>
            <w:vAlign w:val="center"/>
          </w:tcPr>
          <w:p w14:paraId="7D4E3502"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51" w:type="pct"/>
            <w:shd w:val="clear" w:color="auto" w:fill="FFFFFF"/>
            <w:vAlign w:val="center"/>
          </w:tcPr>
          <w:p w14:paraId="3C5482C4" w14:textId="77777777" w:rsidR="002C438C" w:rsidRPr="002C438C" w:rsidRDefault="002C438C" w:rsidP="002C438C">
            <w:pPr>
              <w:adjustRightIn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16323681" w14:textId="77777777" w:rsidTr="002C438C">
        <w:trPr>
          <w:cantSplit/>
          <w:trHeight w:val="20"/>
          <w:jc w:val="center"/>
        </w:trPr>
        <w:tc>
          <w:tcPr>
            <w:tcW w:w="5000" w:type="pct"/>
            <w:gridSpan w:val="9"/>
            <w:shd w:val="clear" w:color="auto" w:fill="FFFFFF"/>
            <w:vAlign w:val="center"/>
          </w:tcPr>
          <w:p w14:paraId="7C9CD0C5" w14:textId="77777777" w:rsidR="002C438C" w:rsidRPr="002C438C" w:rsidRDefault="002C438C" w:rsidP="002C438C">
            <w:pPr>
              <w:adjustRightIn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Dependent Variable: Developmental restaurants’ economic behavior</w:t>
            </w:r>
          </w:p>
          <w:p w14:paraId="270216D2" w14:textId="77777777" w:rsidR="002C438C" w:rsidRPr="002C438C" w:rsidRDefault="002C438C" w:rsidP="002C438C">
            <w:pPr>
              <w:adjustRightIn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Model: (Intercept), Industry level, Human Capital, Relational Capital, Structural Capital, Industry level * Human Capital, Industry level * Relational Capital, Industry level * Structural Capital</w:t>
            </w:r>
          </w:p>
        </w:tc>
      </w:tr>
      <w:tr w:rsidR="002C438C" w:rsidRPr="002C438C" w14:paraId="040B5D2E" w14:textId="77777777" w:rsidTr="002C438C">
        <w:trPr>
          <w:cantSplit/>
          <w:trHeight w:val="20"/>
          <w:jc w:val="center"/>
        </w:trPr>
        <w:tc>
          <w:tcPr>
            <w:tcW w:w="5000" w:type="pct"/>
            <w:gridSpan w:val="9"/>
            <w:shd w:val="clear" w:color="auto" w:fill="FFFFFF"/>
            <w:vAlign w:val="center"/>
          </w:tcPr>
          <w:p w14:paraId="1F61BFE4" w14:textId="77777777" w:rsidR="002C438C" w:rsidRPr="002C438C" w:rsidRDefault="002C438C" w:rsidP="002C438C">
            <w:pPr>
              <w:adjustRightIn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a. Set to zero because this parameter is redundant.</w:t>
            </w:r>
          </w:p>
        </w:tc>
      </w:tr>
    </w:tbl>
    <w:p w14:paraId="43026EE6"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rPr>
        <w:t xml:space="preserve">Nevertheless, during the </w:t>
      </w:r>
      <w:proofErr w:type="gramStart"/>
      <w:r w:rsidRPr="002C438C">
        <w:rPr>
          <w:rFonts w:ascii="Times New Roman" w:hAnsi="Times New Roman" w:cs="Times New Roman"/>
        </w:rPr>
        <w:t>Industry</w:t>
      </w:r>
      <w:proofErr w:type="gramEnd"/>
      <w:r w:rsidRPr="002C438C">
        <w:rPr>
          <w:rFonts w:ascii="Times New Roman" w:hAnsi="Times New Roman" w:cs="Times New Roman"/>
        </w:rPr>
        <w:t xml:space="preserve"> 4.0, managers’ decisions were influenced by human capital (ß=0.489, p=0.042 &lt; 0.05) and structural capital (ß=-0.004, p=0.000 &lt; 0.001), suggesting that for every</w:t>
      </w:r>
      <w:r w:rsidRPr="002C438C">
        <w:rPr>
          <w:rFonts w:ascii="Times New Roman" w:hAnsi="Times New Roman" w:cs="Times New Roman"/>
          <w:sz w:val="24"/>
        </w:rPr>
        <w:t xml:space="preserve"> unit increase in human capital, the odds of adaptation increased by 63.1%. Conversely, structural capital acted as a significant inhibitor (Exp(B)=0.996), with each unit increase decreasing the odds of adaptation by 0.4%.</w:t>
      </w:r>
    </w:p>
    <w:p w14:paraId="4F654871"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For developmental restaurants which are experiencing the transition to Industry 5.0, the influence of human capital and structural capital fades or changes, while market success (revenue growth) becomes a powerful concomitant of adaptive behavior. In other words, their capacity to navigate the human-centric transition of Industry 5.0 is closely linked to their recent market performance.</w:t>
      </w:r>
    </w:p>
    <w:p w14:paraId="7B98FD8D" w14:textId="77777777" w:rsidR="002C438C" w:rsidRPr="002C438C"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sz w:val="24"/>
        </w:rPr>
        <w:t>Taking these into account</w:t>
      </w:r>
      <w:r w:rsidRPr="002C438C">
        <w:rPr>
          <w:rFonts w:ascii="Times New Roman" w:hAnsi="Times New Roman" w:cs="Times New Roman"/>
        </w:rPr>
        <w:t>, the economic behavior of the developmental restaurants (RB</w:t>
      </w:r>
      <w:r w:rsidRPr="002C438C">
        <w:rPr>
          <w:rFonts w:ascii="Times New Roman" w:hAnsi="Times New Roman" w:cs="Times New Roman"/>
          <w:vertAlign w:val="subscript"/>
        </w:rPr>
        <w:t>D</w:t>
      </w:r>
      <w:r w:rsidRPr="002C438C">
        <w:rPr>
          <w:rFonts w:ascii="Times New Roman" w:hAnsi="Times New Roman" w:cs="Times New Roman"/>
        </w:rPr>
        <w:t>) can be predicted based on the following equation:</w:t>
      </w:r>
    </w:p>
    <w:p w14:paraId="3743F6A5" w14:textId="77777777" w:rsidR="002C438C" w:rsidRDefault="002C438C" w:rsidP="002C438C">
      <w:pPr>
        <w:shd w:val="clear" w:color="auto" w:fill="FFFFFF"/>
        <w:ind w:left="1985" w:right="-1" w:hanging="1985"/>
        <w:rPr>
          <w:rFonts w:ascii="Times New Roman" w:hAnsi="Times New Roman" w:cs="Times New Roman"/>
        </w:rPr>
      </w:pPr>
      <m:oMath>
        <m:r>
          <w:rPr>
            <w:rFonts w:ascii="Times New Roman" w:hAnsi="Times New Roman" w:cs="Times New Roman"/>
          </w:rPr>
          <m:t>Log-odds</m:t>
        </m:r>
        <m:d>
          <m:dPr>
            <m:ctrlPr>
              <w:rPr>
                <w:rFonts w:ascii="Times New Roman" w:hAnsi="Times New Roman" w:cs="Times New Roman"/>
                <w:i/>
              </w:rPr>
            </m:ctrlPr>
          </m:dPr>
          <m:e>
            <m:sSub>
              <m:sSubPr>
                <m:ctrlPr>
                  <w:rPr>
                    <w:rFonts w:ascii="Times New Roman" w:hAnsi="Times New Roman" w:cs="Times New Roman"/>
                    <w:i/>
                  </w:rPr>
                </m:ctrlPr>
              </m:sSubPr>
              <m:e>
                <m:r>
                  <w:rPr>
                    <w:rFonts w:ascii="Times New Roman" w:hAnsi="Times New Roman" w:cs="Times New Roman"/>
                  </w:rPr>
                  <m:t>RB</m:t>
                </m:r>
              </m:e>
              <m:sub>
                <m:r>
                  <w:rPr>
                    <w:rFonts w:ascii="Times New Roman" w:hAnsi="Times New Roman" w:cs="Times New Roman"/>
                  </w:rPr>
                  <m:t>D</m:t>
                </m:r>
              </m:sub>
            </m:sSub>
          </m:e>
        </m:d>
        <m:r>
          <w:rPr>
            <w:rFonts w:ascii="Times New Roman" w:hAnsi="Times New Roman" w:cs="Times New Roman"/>
          </w:rPr>
          <m:t>=0.832+</m:t>
        </m:r>
        <m:d>
          <m:dPr>
            <m:ctrlPr>
              <w:rPr>
                <w:rFonts w:ascii="Times New Roman" w:hAnsi="Times New Roman" w:cs="Times New Roman"/>
                <w:i/>
              </w:rPr>
            </m:ctrlPr>
          </m:dPr>
          <m:e>
            <m:r>
              <w:rPr>
                <w:rFonts w:ascii="Times New Roman" w:hAnsi="Times New Roman" w:cs="Times New Roman"/>
              </w:rPr>
              <m:t>0.014*Industry 4.0</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0.583*Relational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0.001*Structural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0.489*Industry 4.0*Human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-0.246*Industry 4.0*Relational Capital</m:t>
            </m:r>
          </m:e>
        </m:d>
        <m:r>
          <w:rPr>
            <w:rFonts w:ascii="Times New Roman" w:hAnsi="Times New Roman" w:cs="Times New Roman"/>
          </w:rPr>
          <m:t>+(-0.004*Industry 4.0*Structural Capital)</m:t>
        </m:r>
      </m:oMath>
      <w:r w:rsidRPr="002C438C">
        <w:rPr>
          <w:rFonts w:ascii="Times New Roman" w:hAnsi="Times New Roman" w:cs="Times New Roman"/>
        </w:rPr>
        <w:t xml:space="preserve">                                                                                       (3)</w:t>
      </w:r>
    </w:p>
    <w:p w14:paraId="14D20340" w14:textId="77777777" w:rsidR="0029675A" w:rsidRDefault="0029675A" w:rsidP="002C438C">
      <w:pPr>
        <w:shd w:val="clear" w:color="auto" w:fill="FFFFFF"/>
        <w:ind w:left="1985" w:right="-1" w:hanging="1985"/>
        <w:rPr>
          <w:rFonts w:ascii="Times New Roman" w:hAnsi="Times New Roman" w:cs="Times New Roman"/>
        </w:rPr>
      </w:pPr>
    </w:p>
    <w:p w14:paraId="6230AD93" w14:textId="77777777" w:rsidR="0029675A" w:rsidRPr="002C438C" w:rsidRDefault="0029675A" w:rsidP="002C438C">
      <w:pPr>
        <w:shd w:val="clear" w:color="auto" w:fill="FFFFFF"/>
        <w:ind w:left="1985" w:right="-1" w:hanging="1985"/>
        <w:rPr>
          <w:rFonts w:ascii="Times New Roman" w:hAnsi="Times New Roman" w:cs="Times New Roman"/>
        </w:rPr>
      </w:pPr>
    </w:p>
    <w:p w14:paraId="4559EB7D" w14:textId="174F2E63"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b/>
          <w:bCs/>
        </w:rPr>
        <w:lastRenderedPageBreak/>
        <w:t xml:space="preserve">4.2.3. Strategies </w:t>
      </w:r>
      <w:proofErr w:type="gramStart"/>
      <w:r w:rsidRPr="002C438C">
        <w:rPr>
          <w:rFonts w:ascii="Times New Roman" w:hAnsi="Times New Roman" w:cs="Times New Roman"/>
          <w:b/>
          <w:bCs/>
        </w:rPr>
        <w:t>of</w:t>
      </w:r>
      <w:proofErr w:type="gramEnd"/>
      <w:r w:rsidRPr="002C438C">
        <w:rPr>
          <w:rFonts w:ascii="Times New Roman" w:hAnsi="Times New Roman" w:cs="Times New Roman"/>
          <w:b/>
          <w:bCs/>
        </w:rPr>
        <w:t xml:space="preserve"> Mature Restaurants</w:t>
      </w:r>
    </w:p>
    <w:p w14:paraId="25ABE232" w14:textId="77777777" w:rsidR="002C438C" w:rsidRPr="002C438C"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rPr>
        <w:t xml:space="preserve">Mature restaurants (over 10 years old) demonstrated the most balanced approach, with their adaptive behavior being influenced by all three dimensions of IC (Table 6). Thus, their economic behavior is influenced by human capital (ß=-0.001, p=0.000 &lt; 0.001), relational capital (ß=0.003, p=0.001 &lt; 0.005), and structural capital (ß=0.005, p=0.000 &lt; 0.001). Firstly, for every one-unit increase in human capital, the odds of adaptation decrease by 0.1% (Exp(B)=0.999). Secondly, for every one-unit increase in relational capital, the odds of adaptation increase by 0.3% (Exp(B)=1.003). </w:t>
      </w:r>
      <w:proofErr w:type="gramStart"/>
      <w:r w:rsidRPr="002C438C">
        <w:rPr>
          <w:rFonts w:ascii="Times New Roman" w:hAnsi="Times New Roman" w:cs="Times New Roman"/>
        </w:rPr>
        <w:t>Last but not least</w:t>
      </w:r>
      <w:proofErr w:type="gramEnd"/>
      <w:r w:rsidRPr="002C438C">
        <w:rPr>
          <w:rFonts w:ascii="Times New Roman" w:hAnsi="Times New Roman" w:cs="Times New Roman"/>
        </w:rPr>
        <w:t>, for every one-unit increase in structural capital, the odds of adaptation increase by 0.5% (Exp(B)=1.005).</w:t>
      </w:r>
    </w:p>
    <w:p w14:paraId="4E114C17" w14:textId="77777777" w:rsidR="002C438C" w:rsidRPr="002C438C" w:rsidRDefault="002C438C" w:rsidP="002C438C">
      <w:pPr>
        <w:adjustRightInd w:val="0"/>
        <w:spacing w:before="120" w:after="0" w:line="240" w:lineRule="auto"/>
        <w:jc w:val="center"/>
        <w:rPr>
          <w:rFonts w:ascii="Times New Roman" w:hAnsi="Times New Roman" w:cs="Times New Roman"/>
          <w:i/>
          <w:iCs/>
        </w:rPr>
      </w:pPr>
      <w:r w:rsidRPr="002C438C">
        <w:rPr>
          <w:rFonts w:ascii="Times New Roman" w:hAnsi="Times New Roman" w:cs="Times New Roman"/>
          <w:i/>
          <w:iCs/>
        </w:rPr>
        <w:t>Table 6: GEE analysis of the relationships between IC dimensions and mature restaurants’ behavior during their transition to Industry 5.0</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2" w:type="dxa"/>
          <w:left w:w="72" w:type="dxa"/>
          <w:bottom w:w="72" w:type="dxa"/>
          <w:right w:w="72" w:type="dxa"/>
        </w:tblCellMar>
        <w:tblLook w:val="0000" w:firstRow="0" w:lastRow="0" w:firstColumn="0" w:lastColumn="0" w:noHBand="0" w:noVBand="0"/>
      </w:tblPr>
      <w:tblGrid>
        <w:gridCol w:w="2977"/>
        <w:gridCol w:w="818"/>
        <w:gridCol w:w="592"/>
        <w:gridCol w:w="845"/>
        <w:gridCol w:w="534"/>
        <w:gridCol w:w="592"/>
        <w:gridCol w:w="704"/>
        <w:gridCol w:w="937"/>
        <w:gridCol w:w="1046"/>
      </w:tblGrid>
      <w:tr w:rsidR="002C438C" w:rsidRPr="002C438C" w14:paraId="6E4D45F9" w14:textId="77777777" w:rsidTr="002C438C">
        <w:trPr>
          <w:cantSplit/>
          <w:trHeight w:val="20"/>
          <w:jc w:val="center"/>
        </w:trPr>
        <w:tc>
          <w:tcPr>
            <w:tcW w:w="1646" w:type="pct"/>
            <w:vMerge w:val="restart"/>
            <w:shd w:val="clear" w:color="auto" w:fill="FFFFFF"/>
            <w:vAlign w:val="center"/>
          </w:tcPr>
          <w:p w14:paraId="08A0E37A"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Parameter</w:t>
            </w:r>
          </w:p>
        </w:tc>
        <w:tc>
          <w:tcPr>
            <w:tcW w:w="453" w:type="pct"/>
            <w:vMerge w:val="restart"/>
            <w:shd w:val="clear" w:color="auto" w:fill="FFFFFF"/>
            <w:vAlign w:val="center"/>
          </w:tcPr>
          <w:p w14:paraId="1F437FFC"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B</w:t>
            </w:r>
          </w:p>
        </w:tc>
        <w:tc>
          <w:tcPr>
            <w:tcW w:w="327" w:type="pct"/>
            <w:vMerge w:val="restart"/>
            <w:shd w:val="clear" w:color="auto" w:fill="FFFFFF"/>
            <w:vAlign w:val="center"/>
          </w:tcPr>
          <w:p w14:paraId="7B91B704"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SE</w:t>
            </w:r>
          </w:p>
        </w:tc>
        <w:tc>
          <w:tcPr>
            <w:tcW w:w="467" w:type="pct"/>
            <w:vMerge w:val="restart"/>
            <w:shd w:val="clear" w:color="auto" w:fill="FFFFFF"/>
            <w:vAlign w:val="center"/>
          </w:tcPr>
          <w:p w14:paraId="202717CE"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Wald Chi-Square</w:t>
            </w:r>
          </w:p>
        </w:tc>
        <w:tc>
          <w:tcPr>
            <w:tcW w:w="295" w:type="pct"/>
            <w:vMerge w:val="restart"/>
            <w:shd w:val="clear" w:color="auto" w:fill="FFFFFF"/>
            <w:vAlign w:val="center"/>
          </w:tcPr>
          <w:p w14:paraId="16C8FD59"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roofErr w:type="spellStart"/>
            <w:r w:rsidRPr="002C438C">
              <w:rPr>
                <w:rFonts w:ascii="Times New Roman" w:hAnsi="Times New Roman" w:cs="Times New Roman"/>
                <w:b/>
                <w:color w:val="000000"/>
                <w:sz w:val="20"/>
              </w:rPr>
              <w:t>df</w:t>
            </w:r>
            <w:proofErr w:type="spellEnd"/>
          </w:p>
        </w:tc>
        <w:tc>
          <w:tcPr>
            <w:tcW w:w="327" w:type="pct"/>
            <w:vMerge w:val="restart"/>
            <w:shd w:val="clear" w:color="auto" w:fill="FFFFFF"/>
            <w:vAlign w:val="center"/>
          </w:tcPr>
          <w:p w14:paraId="37AC0C0F"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Sig.</w:t>
            </w:r>
          </w:p>
        </w:tc>
        <w:tc>
          <w:tcPr>
            <w:tcW w:w="389" w:type="pct"/>
            <w:vMerge w:val="restart"/>
            <w:shd w:val="clear" w:color="auto" w:fill="FFFFFF"/>
            <w:vAlign w:val="center"/>
          </w:tcPr>
          <w:p w14:paraId="5E577549"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Exp (B)</w:t>
            </w:r>
          </w:p>
        </w:tc>
        <w:tc>
          <w:tcPr>
            <w:tcW w:w="1096" w:type="pct"/>
            <w:gridSpan w:val="2"/>
            <w:shd w:val="clear" w:color="auto" w:fill="FFFFFF"/>
            <w:vAlign w:val="center"/>
          </w:tcPr>
          <w:p w14:paraId="5C3B698E"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95% Confidence Interval for Exp(B)</w:t>
            </w:r>
          </w:p>
        </w:tc>
      </w:tr>
      <w:tr w:rsidR="002C438C" w:rsidRPr="002C438C" w14:paraId="0D18D16B" w14:textId="77777777" w:rsidTr="002C438C">
        <w:trPr>
          <w:cantSplit/>
          <w:trHeight w:val="20"/>
          <w:jc w:val="center"/>
        </w:trPr>
        <w:tc>
          <w:tcPr>
            <w:tcW w:w="1646" w:type="pct"/>
            <w:vMerge/>
            <w:shd w:val="clear" w:color="auto" w:fill="FFFFFF"/>
            <w:vAlign w:val="center"/>
          </w:tcPr>
          <w:p w14:paraId="2582560C"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453" w:type="pct"/>
            <w:vMerge/>
            <w:shd w:val="clear" w:color="auto" w:fill="FFFFFF"/>
            <w:vAlign w:val="center"/>
          </w:tcPr>
          <w:p w14:paraId="142BD61D"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27" w:type="pct"/>
            <w:vMerge/>
            <w:shd w:val="clear" w:color="auto" w:fill="FFFFFF"/>
            <w:vAlign w:val="center"/>
          </w:tcPr>
          <w:p w14:paraId="70C1E283"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467" w:type="pct"/>
            <w:vMerge/>
            <w:shd w:val="clear" w:color="auto" w:fill="FFFFFF"/>
            <w:vAlign w:val="center"/>
          </w:tcPr>
          <w:p w14:paraId="591B9C79"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295" w:type="pct"/>
            <w:vMerge/>
            <w:shd w:val="clear" w:color="auto" w:fill="FFFFFF"/>
            <w:vAlign w:val="center"/>
          </w:tcPr>
          <w:p w14:paraId="134EA28E"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27" w:type="pct"/>
            <w:vMerge/>
            <w:shd w:val="clear" w:color="auto" w:fill="FFFFFF"/>
            <w:vAlign w:val="center"/>
          </w:tcPr>
          <w:p w14:paraId="4ABED7D5"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89" w:type="pct"/>
            <w:vMerge/>
            <w:shd w:val="clear" w:color="auto" w:fill="FFFFFF"/>
            <w:vAlign w:val="center"/>
          </w:tcPr>
          <w:p w14:paraId="166AF3B4"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518" w:type="pct"/>
            <w:shd w:val="clear" w:color="auto" w:fill="FFFFFF"/>
            <w:vAlign w:val="center"/>
          </w:tcPr>
          <w:p w14:paraId="2013F465"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Lower</w:t>
            </w:r>
          </w:p>
        </w:tc>
        <w:tc>
          <w:tcPr>
            <w:tcW w:w="578" w:type="pct"/>
            <w:shd w:val="clear" w:color="auto" w:fill="FFFFFF"/>
            <w:vAlign w:val="center"/>
          </w:tcPr>
          <w:p w14:paraId="38937C6A"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Upper</w:t>
            </w:r>
          </w:p>
        </w:tc>
      </w:tr>
      <w:tr w:rsidR="002C438C" w:rsidRPr="002C438C" w14:paraId="63BABB65" w14:textId="77777777" w:rsidTr="002C438C">
        <w:trPr>
          <w:cantSplit/>
          <w:trHeight w:val="20"/>
          <w:jc w:val="center"/>
        </w:trPr>
        <w:tc>
          <w:tcPr>
            <w:tcW w:w="1646" w:type="pct"/>
            <w:shd w:val="clear" w:color="auto" w:fill="FFFFFF"/>
            <w:vAlign w:val="center"/>
          </w:tcPr>
          <w:p w14:paraId="0C26A05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(Intercept)</w:t>
            </w:r>
          </w:p>
        </w:tc>
        <w:tc>
          <w:tcPr>
            <w:tcW w:w="453" w:type="pct"/>
            <w:shd w:val="clear" w:color="auto" w:fill="FFFFFF"/>
            <w:vAlign w:val="center"/>
          </w:tcPr>
          <w:p w14:paraId="40E29C8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-.250</w:t>
            </w:r>
          </w:p>
        </w:tc>
        <w:tc>
          <w:tcPr>
            <w:tcW w:w="327" w:type="pct"/>
            <w:shd w:val="clear" w:color="auto" w:fill="FFFFFF"/>
            <w:vAlign w:val="center"/>
          </w:tcPr>
          <w:p w14:paraId="509B95D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.078</w:t>
            </w:r>
          </w:p>
        </w:tc>
        <w:tc>
          <w:tcPr>
            <w:tcW w:w="467" w:type="pct"/>
            <w:shd w:val="clear" w:color="auto" w:fill="FFFFFF"/>
            <w:vAlign w:val="center"/>
          </w:tcPr>
          <w:p w14:paraId="7BD17A0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10.129</w:t>
            </w:r>
          </w:p>
        </w:tc>
        <w:tc>
          <w:tcPr>
            <w:tcW w:w="295" w:type="pct"/>
            <w:shd w:val="clear" w:color="auto" w:fill="FFFFFF"/>
            <w:vAlign w:val="center"/>
          </w:tcPr>
          <w:p w14:paraId="2E426B1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4512BBB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9" w:type="pct"/>
            <w:shd w:val="clear" w:color="auto" w:fill="FFFFFF"/>
            <w:vAlign w:val="center"/>
          </w:tcPr>
          <w:p w14:paraId="7AB7AF4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.778</w:t>
            </w:r>
          </w:p>
        </w:tc>
        <w:tc>
          <w:tcPr>
            <w:tcW w:w="518" w:type="pct"/>
            <w:shd w:val="clear" w:color="auto" w:fill="FFFFFF"/>
            <w:vAlign w:val="center"/>
          </w:tcPr>
          <w:p w14:paraId="73CBE3D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.667</w:t>
            </w:r>
          </w:p>
        </w:tc>
        <w:tc>
          <w:tcPr>
            <w:tcW w:w="578" w:type="pct"/>
            <w:shd w:val="clear" w:color="auto" w:fill="FFFFFF"/>
            <w:vAlign w:val="center"/>
          </w:tcPr>
          <w:p w14:paraId="6FEFF5E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.908</w:t>
            </w:r>
          </w:p>
        </w:tc>
      </w:tr>
      <w:tr w:rsidR="002C438C" w:rsidRPr="002C438C" w14:paraId="22574B39" w14:textId="77777777" w:rsidTr="002C438C">
        <w:trPr>
          <w:cantSplit/>
          <w:trHeight w:val="20"/>
          <w:jc w:val="center"/>
        </w:trPr>
        <w:tc>
          <w:tcPr>
            <w:tcW w:w="1646" w:type="pct"/>
            <w:shd w:val="clear" w:color="auto" w:fill="FFFFFF"/>
            <w:vAlign w:val="center"/>
          </w:tcPr>
          <w:p w14:paraId="0DB40F5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w:t>
            </w:r>
          </w:p>
        </w:tc>
        <w:tc>
          <w:tcPr>
            <w:tcW w:w="453" w:type="pct"/>
            <w:shd w:val="clear" w:color="auto" w:fill="FFFFFF"/>
            <w:vAlign w:val="center"/>
          </w:tcPr>
          <w:p w14:paraId="4FBD944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-1.112</w:t>
            </w:r>
          </w:p>
        </w:tc>
        <w:tc>
          <w:tcPr>
            <w:tcW w:w="327" w:type="pct"/>
            <w:shd w:val="clear" w:color="auto" w:fill="FFFFFF"/>
            <w:vAlign w:val="center"/>
          </w:tcPr>
          <w:p w14:paraId="36ED9A6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.210</w:t>
            </w:r>
          </w:p>
        </w:tc>
        <w:tc>
          <w:tcPr>
            <w:tcW w:w="467" w:type="pct"/>
            <w:shd w:val="clear" w:color="auto" w:fill="FFFFFF"/>
            <w:vAlign w:val="center"/>
          </w:tcPr>
          <w:p w14:paraId="5448D62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28.011</w:t>
            </w:r>
          </w:p>
        </w:tc>
        <w:tc>
          <w:tcPr>
            <w:tcW w:w="295" w:type="pct"/>
            <w:shd w:val="clear" w:color="auto" w:fill="FFFFFF"/>
            <w:vAlign w:val="center"/>
          </w:tcPr>
          <w:p w14:paraId="094D731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7B45CF3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402A525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.329</w:t>
            </w:r>
          </w:p>
        </w:tc>
        <w:tc>
          <w:tcPr>
            <w:tcW w:w="518" w:type="pct"/>
            <w:shd w:val="clear" w:color="auto" w:fill="FFFFFF"/>
            <w:vAlign w:val="center"/>
          </w:tcPr>
          <w:p w14:paraId="32A658E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.218</w:t>
            </w:r>
          </w:p>
        </w:tc>
        <w:tc>
          <w:tcPr>
            <w:tcW w:w="578" w:type="pct"/>
            <w:shd w:val="clear" w:color="auto" w:fill="FFFFFF"/>
            <w:vAlign w:val="center"/>
          </w:tcPr>
          <w:p w14:paraId="32AC983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.496</w:t>
            </w:r>
          </w:p>
        </w:tc>
      </w:tr>
      <w:tr w:rsidR="002C438C" w:rsidRPr="002C438C" w14:paraId="2F2AF31F" w14:textId="77777777" w:rsidTr="002C438C">
        <w:trPr>
          <w:cantSplit/>
          <w:trHeight w:val="20"/>
          <w:jc w:val="center"/>
        </w:trPr>
        <w:tc>
          <w:tcPr>
            <w:tcW w:w="1646" w:type="pct"/>
            <w:shd w:val="clear" w:color="auto" w:fill="FFFFFF"/>
            <w:vAlign w:val="center"/>
          </w:tcPr>
          <w:p w14:paraId="09ED7EC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w:t>
            </w:r>
          </w:p>
        </w:tc>
        <w:tc>
          <w:tcPr>
            <w:tcW w:w="453" w:type="pct"/>
            <w:shd w:val="clear" w:color="auto" w:fill="FFFFFF"/>
            <w:vAlign w:val="center"/>
          </w:tcPr>
          <w:p w14:paraId="7724A30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27" w:type="pct"/>
            <w:shd w:val="clear" w:color="auto" w:fill="FFFFFF"/>
            <w:vAlign w:val="center"/>
          </w:tcPr>
          <w:p w14:paraId="538F397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7" w:type="pct"/>
            <w:shd w:val="clear" w:color="auto" w:fill="FFFFFF"/>
            <w:vAlign w:val="center"/>
          </w:tcPr>
          <w:p w14:paraId="389CF9E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95" w:type="pct"/>
            <w:shd w:val="clear" w:color="auto" w:fill="FFFFFF"/>
            <w:vAlign w:val="center"/>
          </w:tcPr>
          <w:p w14:paraId="792CD58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27" w:type="pct"/>
            <w:shd w:val="clear" w:color="auto" w:fill="FFFFFF"/>
            <w:vAlign w:val="center"/>
          </w:tcPr>
          <w:p w14:paraId="4809AE5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3671D58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18" w:type="pct"/>
            <w:shd w:val="clear" w:color="auto" w:fill="FFFFFF"/>
            <w:vAlign w:val="center"/>
          </w:tcPr>
          <w:p w14:paraId="481AB14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78" w:type="pct"/>
            <w:shd w:val="clear" w:color="auto" w:fill="FFFFFF"/>
            <w:vAlign w:val="center"/>
          </w:tcPr>
          <w:p w14:paraId="430EF07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787206E0" w14:textId="77777777" w:rsidTr="002C438C">
        <w:trPr>
          <w:cantSplit/>
          <w:trHeight w:val="20"/>
          <w:jc w:val="center"/>
        </w:trPr>
        <w:tc>
          <w:tcPr>
            <w:tcW w:w="1646" w:type="pct"/>
            <w:shd w:val="clear" w:color="auto" w:fill="FFFFFF"/>
            <w:vAlign w:val="center"/>
          </w:tcPr>
          <w:p w14:paraId="1DBDBE7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Human Capital</w:t>
            </w:r>
          </w:p>
        </w:tc>
        <w:tc>
          <w:tcPr>
            <w:tcW w:w="453" w:type="pct"/>
            <w:shd w:val="clear" w:color="auto" w:fill="FFFFFF"/>
            <w:vAlign w:val="center"/>
          </w:tcPr>
          <w:p w14:paraId="1340725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27" w:type="pct"/>
            <w:shd w:val="clear" w:color="auto" w:fill="FFFFFF"/>
            <w:vAlign w:val="center"/>
          </w:tcPr>
          <w:p w14:paraId="2A6E187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7" w:type="pct"/>
            <w:shd w:val="clear" w:color="auto" w:fill="FFFFFF"/>
            <w:vAlign w:val="center"/>
          </w:tcPr>
          <w:p w14:paraId="5CAC756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13.588</w:t>
            </w:r>
          </w:p>
        </w:tc>
        <w:tc>
          <w:tcPr>
            <w:tcW w:w="295" w:type="pct"/>
            <w:shd w:val="clear" w:color="auto" w:fill="FFFFFF"/>
            <w:vAlign w:val="center"/>
          </w:tcPr>
          <w:p w14:paraId="5F21B04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2A74CA9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5D8DF10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.999</w:t>
            </w:r>
          </w:p>
        </w:tc>
        <w:tc>
          <w:tcPr>
            <w:tcW w:w="518" w:type="pct"/>
            <w:shd w:val="clear" w:color="auto" w:fill="FFFFFF"/>
            <w:vAlign w:val="center"/>
          </w:tcPr>
          <w:p w14:paraId="29648D6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.999</w:t>
            </w:r>
          </w:p>
        </w:tc>
        <w:tc>
          <w:tcPr>
            <w:tcW w:w="578" w:type="pct"/>
            <w:shd w:val="clear" w:color="auto" w:fill="FFFFFF"/>
            <w:vAlign w:val="center"/>
          </w:tcPr>
          <w:p w14:paraId="1190BB6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r>
      <w:tr w:rsidR="002C438C" w:rsidRPr="002C438C" w14:paraId="7341CAA8" w14:textId="77777777" w:rsidTr="002C438C">
        <w:trPr>
          <w:cantSplit/>
          <w:trHeight w:val="20"/>
          <w:jc w:val="center"/>
        </w:trPr>
        <w:tc>
          <w:tcPr>
            <w:tcW w:w="1646" w:type="pct"/>
            <w:shd w:val="clear" w:color="auto" w:fill="FFFFFF"/>
            <w:vAlign w:val="center"/>
          </w:tcPr>
          <w:p w14:paraId="497EC2E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Relational Capital</w:t>
            </w:r>
          </w:p>
        </w:tc>
        <w:tc>
          <w:tcPr>
            <w:tcW w:w="453" w:type="pct"/>
            <w:shd w:val="clear" w:color="auto" w:fill="FFFFFF"/>
            <w:vAlign w:val="center"/>
          </w:tcPr>
          <w:p w14:paraId="1F06DCD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.003</w:t>
            </w:r>
          </w:p>
        </w:tc>
        <w:tc>
          <w:tcPr>
            <w:tcW w:w="327" w:type="pct"/>
            <w:shd w:val="clear" w:color="auto" w:fill="FFFFFF"/>
            <w:vAlign w:val="center"/>
          </w:tcPr>
          <w:p w14:paraId="65524F2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467" w:type="pct"/>
            <w:shd w:val="clear" w:color="auto" w:fill="FFFFFF"/>
            <w:vAlign w:val="center"/>
          </w:tcPr>
          <w:p w14:paraId="21B2CC4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10.735</w:t>
            </w:r>
          </w:p>
        </w:tc>
        <w:tc>
          <w:tcPr>
            <w:tcW w:w="295" w:type="pct"/>
            <w:shd w:val="clear" w:color="auto" w:fill="FFFFFF"/>
            <w:vAlign w:val="center"/>
          </w:tcPr>
          <w:p w14:paraId="635496F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3F30584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9" w:type="pct"/>
            <w:shd w:val="clear" w:color="auto" w:fill="FFFFFF"/>
            <w:vAlign w:val="center"/>
          </w:tcPr>
          <w:p w14:paraId="3CB7476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1.003</w:t>
            </w:r>
          </w:p>
        </w:tc>
        <w:tc>
          <w:tcPr>
            <w:tcW w:w="518" w:type="pct"/>
            <w:shd w:val="clear" w:color="auto" w:fill="FFFFFF"/>
            <w:vAlign w:val="center"/>
          </w:tcPr>
          <w:p w14:paraId="5E3B095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c>
          <w:tcPr>
            <w:tcW w:w="578" w:type="pct"/>
            <w:shd w:val="clear" w:color="auto" w:fill="FFFFFF"/>
            <w:vAlign w:val="center"/>
          </w:tcPr>
          <w:p w14:paraId="19E14C8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1.006</w:t>
            </w:r>
          </w:p>
        </w:tc>
      </w:tr>
      <w:tr w:rsidR="002C438C" w:rsidRPr="002C438C" w14:paraId="6F64C33D" w14:textId="77777777" w:rsidTr="002C438C">
        <w:trPr>
          <w:cantSplit/>
          <w:trHeight w:val="20"/>
          <w:jc w:val="center"/>
        </w:trPr>
        <w:tc>
          <w:tcPr>
            <w:tcW w:w="1646" w:type="pct"/>
            <w:shd w:val="clear" w:color="auto" w:fill="FFFFFF"/>
            <w:vAlign w:val="center"/>
          </w:tcPr>
          <w:p w14:paraId="3E08734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Structural Capital</w:t>
            </w:r>
          </w:p>
        </w:tc>
        <w:tc>
          <w:tcPr>
            <w:tcW w:w="453" w:type="pct"/>
            <w:shd w:val="clear" w:color="auto" w:fill="FFFFFF"/>
            <w:vAlign w:val="center"/>
          </w:tcPr>
          <w:p w14:paraId="653B92D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.005</w:t>
            </w:r>
          </w:p>
        </w:tc>
        <w:tc>
          <w:tcPr>
            <w:tcW w:w="327" w:type="pct"/>
            <w:shd w:val="clear" w:color="auto" w:fill="FFFFFF"/>
            <w:vAlign w:val="center"/>
          </w:tcPr>
          <w:p w14:paraId="397DC58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467" w:type="pct"/>
            <w:shd w:val="clear" w:color="auto" w:fill="FFFFFF"/>
            <w:vAlign w:val="center"/>
          </w:tcPr>
          <w:p w14:paraId="290EDFE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14.105</w:t>
            </w:r>
          </w:p>
        </w:tc>
        <w:tc>
          <w:tcPr>
            <w:tcW w:w="295" w:type="pct"/>
            <w:shd w:val="clear" w:color="auto" w:fill="FFFFFF"/>
            <w:vAlign w:val="center"/>
          </w:tcPr>
          <w:p w14:paraId="3AB1367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3B82D23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24C6514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1.005</w:t>
            </w:r>
          </w:p>
        </w:tc>
        <w:tc>
          <w:tcPr>
            <w:tcW w:w="518" w:type="pct"/>
            <w:shd w:val="clear" w:color="auto" w:fill="FFFFFF"/>
            <w:vAlign w:val="center"/>
          </w:tcPr>
          <w:p w14:paraId="6729FD5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1.002</w:t>
            </w:r>
          </w:p>
        </w:tc>
        <w:tc>
          <w:tcPr>
            <w:tcW w:w="578" w:type="pct"/>
            <w:shd w:val="clear" w:color="auto" w:fill="FFFFFF"/>
            <w:vAlign w:val="center"/>
          </w:tcPr>
          <w:p w14:paraId="50E8006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1.007</w:t>
            </w:r>
          </w:p>
        </w:tc>
      </w:tr>
      <w:tr w:rsidR="002C438C" w:rsidRPr="002C438C" w14:paraId="434FA26F" w14:textId="77777777" w:rsidTr="002C438C">
        <w:trPr>
          <w:cantSplit/>
          <w:trHeight w:val="20"/>
          <w:jc w:val="center"/>
        </w:trPr>
        <w:tc>
          <w:tcPr>
            <w:tcW w:w="1646" w:type="pct"/>
            <w:shd w:val="clear" w:color="auto" w:fill="FFFFFF"/>
            <w:vAlign w:val="center"/>
          </w:tcPr>
          <w:p w14:paraId="07A2E81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Human Capital</w:t>
            </w:r>
          </w:p>
        </w:tc>
        <w:tc>
          <w:tcPr>
            <w:tcW w:w="453" w:type="pct"/>
            <w:shd w:val="clear" w:color="auto" w:fill="FFFFFF"/>
            <w:vAlign w:val="center"/>
          </w:tcPr>
          <w:p w14:paraId="0FAF31D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27" w:type="pct"/>
            <w:shd w:val="clear" w:color="auto" w:fill="FFFFFF"/>
            <w:vAlign w:val="center"/>
          </w:tcPr>
          <w:p w14:paraId="4F1803B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7" w:type="pct"/>
            <w:shd w:val="clear" w:color="auto" w:fill="FFFFFF"/>
            <w:vAlign w:val="center"/>
          </w:tcPr>
          <w:p w14:paraId="67541C1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14.516</w:t>
            </w:r>
          </w:p>
        </w:tc>
        <w:tc>
          <w:tcPr>
            <w:tcW w:w="295" w:type="pct"/>
            <w:shd w:val="clear" w:color="auto" w:fill="FFFFFF"/>
            <w:vAlign w:val="center"/>
          </w:tcPr>
          <w:p w14:paraId="20C65B3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74A579E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0B41C27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c>
          <w:tcPr>
            <w:tcW w:w="518" w:type="pct"/>
            <w:shd w:val="clear" w:color="auto" w:fill="FFFFFF"/>
            <w:vAlign w:val="center"/>
          </w:tcPr>
          <w:p w14:paraId="74CD664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c>
          <w:tcPr>
            <w:tcW w:w="578" w:type="pct"/>
            <w:shd w:val="clear" w:color="auto" w:fill="FFFFFF"/>
            <w:vAlign w:val="center"/>
          </w:tcPr>
          <w:p w14:paraId="06D8B97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r>
      <w:tr w:rsidR="002C438C" w:rsidRPr="002C438C" w14:paraId="72E05AD6" w14:textId="77777777" w:rsidTr="002C438C">
        <w:trPr>
          <w:cantSplit/>
          <w:trHeight w:val="20"/>
          <w:jc w:val="center"/>
        </w:trPr>
        <w:tc>
          <w:tcPr>
            <w:tcW w:w="1646" w:type="pct"/>
            <w:shd w:val="clear" w:color="auto" w:fill="FFFFFF"/>
            <w:vAlign w:val="center"/>
          </w:tcPr>
          <w:p w14:paraId="6117498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Human Capital</w:t>
            </w:r>
          </w:p>
        </w:tc>
        <w:tc>
          <w:tcPr>
            <w:tcW w:w="453" w:type="pct"/>
            <w:shd w:val="clear" w:color="auto" w:fill="FFFFFF"/>
            <w:vAlign w:val="center"/>
          </w:tcPr>
          <w:p w14:paraId="556B90C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27" w:type="pct"/>
            <w:shd w:val="clear" w:color="auto" w:fill="FFFFFF"/>
            <w:vAlign w:val="center"/>
          </w:tcPr>
          <w:p w14:paraId="1A9E4E5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7" w:type="pct"/>
            <w:shd w:val="clear" w:color="auto" w:fill="FFFFFF"/>
            <w:vAlign w:val="center"/>
          </w:tcPr>
          <w:p w14:paraId="462FC82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95" w:type="pct"/>
            <w:shd w:val="clear" w:color="auto" w:fill="FFFFFF"/>
            <w:vAlign w:val="center"/>
          </w:tcPr>
          <w:p w14:paraId="321E5FA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27" w:type="pct"/>
            <w:shd w:val="clear" w:color="auto" w:fill="FFFFFF"/>
            <w:vAlign w:val="center"/>
          </w:tcPr>
          <w:p w14:paraId="524766B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183BB83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18" w:type="pct"/>
            <w:shd w:val="clear" w:color="auto" w:fill="FFFFFF"/>
            <w:vAlign w:val="center"/>
          </w:tcPr>
          <w:p w14:paraId="46180CD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78" w:type="pct"/>
            <w:shd w:val="clear" w:color="auto" w:fill="FFFFFF"/>
            <w:vAlign w:val="center"/>
          </w:tcPr>
          <w:p w14:paraId="23B1B10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454C9848" w14:textId="77777777" w:rsidTr="002C438C">
        <w:trPr>
          <w:cantSplit/>
          <w:trHeight w:val="20"/>
          <w:jc w:val="center"/>
        </w:trPr>
        <w:tc>
          <w:tcPr>
            <w:tcW w:w="1646" w:type="pct"/>
            <w:shd w:val="clear" w:color="auto" w:fill="FFFFFF"/>
            <w:vAlign w:val="center"/>
          </w:tcPr>
          <w:p w14:paraId="2409BE0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Relational Capital</w:t>
            </w:r>
          </w:p>
        </w:tc>
        <w:tc>
          <w:tcPr>
            <w:tcW w:w="453" w:type="pct"/>
            <w:shd w:val="clear" w:color="auto" w:fill="FFFFFF"/>
            <w:vAlign w:val="center"/>
          </w:tcPr>
          <w:p w14:paraId="24CBD6C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327" w:type="pct"/>
            <w:shd w:val="clear" w:color="auto" w:fill="FFFFFF"/>
            <w:vAlign w:val="center"/>
          </w:tcPr>
          <w:p w14:paraId="3AFC628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.003</w:t>
            </w:r>
          </w:p>
        </w:tc>
        <w:tc>
          <w:tcPr>
            <w:tcW w:w="467" w:type="pct"/>
            <w:shd w:val="clear" w:color="auto" w:fill="FFFFFF"/>
            <w:vAlign w:val="center"/>
          </w:tcPr>
          <w:p w14:paraId="7F5C5F4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1.147</w:t>
            </w:r>
          </w:p>
        </w:tc>
        <w:tc>
          <w:tcPr>
            <w:tcW w:w="295" w:type="pct"/>
            <w:shd w:val="clear" w:color="auto" w:fill="FFFFFF"/>
            <w:vAlign w:val="center"/>
          </w:tcPr>
          <w:p w14:paraId="15C12F1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2F396E7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.284</w:t>
            </w:r>
          </w:p>
        </w:tc>
        <w:tc>
          <w:tcPr>
            <w:tcW w:w="389" w:type="pct"/>
            <w:shd w:val="clear" w:color="auto" w:fill="FFFFFF"/>
            <w:vAlign w:val="center"/>
          </w:tcPr>
          <w:p w14:paraId="494E7EA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1.004</w:t>
            </w:r>
          </w:p>
        </w:tc>
        <w:tc>
          <w:tcPr>
            <w:tcW w:w="518" w:type="pct"/>
            <w:shd w:val="clear" w:color="auto" w:fill="FFFFFF"/>
            <w:vAlign w:val="center"/>
          </w:tcPr>
          <w:p w14:paraId="635E915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.997</w:t>
            </w:r>
          </w:p>
        </w:tc>
        <w:tc>
          <w:tcPr>
            <w:tcW w:w="578" w:type="pct"/>
            <w:shd w:val="clear" w:color="auto" w:fill="FFFFFF"/>
            <w:vAlign w:val="center"/>
          </w:tcPr>
          <w:p w14:paraId="3DFA459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1.012</w:t>
            </w:r>
          </w:p>
        </w:tc>
      </w:tr>
      <w:tr w:rsidR="002C438C" w:rsidRPr="002C438C" w14:paraId="5B04F5E0" w14:textId="77777777" w:rsidTr="002C438C">
        <w:trPr>
          <w:cantSplit/>
          <w:trHeight w:val="20"/>
          <w:jc w:val="center"/>
        </w:trPr>
        <w:tc>
          <w:tcPr>
            <w:tcW w:w="1646" w:type="pct"/>
            <w:shd w:val="clear" w:color="auto" w:fill="FFFFFF"/>
            <w:vAlign w:val="center"/>
          </w:tcPr>
          <w:p w14:paraId="267AE79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Relational Capital</w:t>
            </w:r>
          </w:p>
        </w:tc>
        <w:tc>
          <w:tcPr>
            <w:tcW w:w="453" w:type="pct"/>
            <w:shd w:val="clear" w:color="auto" w:fill="FFFFFF"/>
            <w:vAlign w:val="center"/>
          </w:tcPr>
          <w:p w14:paraId="5414234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27" w:type="pct"/>
            <w:shd w:val="clear" w:color="auto" w:fill="FFFFFF"/>
            <w:vAlign w:val="center"/>
          </w:tcPr>
          <w:p w14:paraId="2399A82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7" w:type="pct"/>
            <w:shd w:val="clear" w:color="auto" w:fill="FFFFFF"/>
            <w:vAlign w:val="center"/>
          </w:tcPr>
          <w:p w14:paraId="58D44F0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95" w:type="pct"/>
            <w:shd w:val="clear" w:color="auto" w:fill="FFFFFF"/>
            <w:vAlign w:val="center"/>
          </w:tcPr>
          <w:p w14:paraId="63E7E91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27" w:type="pct"/>
            <w:shd w:val="clear" w:color="auto" w:fill="FFFFFF"/>
            <w:vAlign w:val="center"/>
          </w:tcPr>
          <w:p w14:paraId="52E5669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459D0C1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18" w:type="pct"/>
            <w:shd w:val="clear" w:color="auto" w:fill="FFFFFF"/>
            <w:vAlign w:val="center"/>
          </w:tcPr>
          <w:p w14:paraId="34E59D6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78" w:type="pct"/>
            <w:shd w:val="clear" w:color="auto" w:fill="FFFFFF"/>
            <w:vAlign w:val="center"/>
          </w:tcPr>
          <w:p w14:paraId="67D46A7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2AE02692" w14:textId="77777777" w:rsidTr="002C438C">
        <w:trPr>
          <w:cantSplit/>
          <w:trHeight w:val="20"/>
          <w:jc w:val="center"/>
        </w:trPr>
        <w:tc>
          <w:tcPr>
            <w:tcW w:w="1646" w:type="pct"/>
            <w:shd w:val="clear" w:color="auto" w:fill="FFFFFF"/>
            <w:vAlign w:val="center"/>
          </w:tcPr>
          <w:p w14:paraId="6859776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Structural Capital</w:t>
            </w:r>
          </w:p>
        </w:tc>
        <w:tc>
          <w:tcPr>
            <w:tcW w:w="453" w:type="pct"/>
            <w:shd w:val="clear" w:color="auto" w:fill="FFFFFF"/>
            <w:vAlign w:val="center"/>
          </w:tcPr>
          <w:p w14:paraId="4B45986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27" w:type="pct"/>
            <w:shd w:val="clear" w:color="auto" w:fill="FFFFFF"/>
            <w:vAlign w:val="center"/>
          </w:tcPr>
          <w:p w14:paraId="47F3C0C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7" w:type="pct"/>
            <w:shd w:val="clear" w:color="auto" w:fill="FFFFFF"/>
            <w:vAlign w:val="center"/>
          </w:tcPr>
          <w:p w14:paraId="6D36FEE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23.491</w:t>
            </w:r>
          </w:p>
        </w:tc>
        <w:tc>
          <w:tcPr>
            <w:tcW w:w="295" w:type="pct"/>
            <w:shd w:val="clear" w:color="auto" w:fill="FFFFFF"/>
            <w:vAlign w:val="center"/>
          </w:tcPr>
          <w:p w14:paraId="71DD229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327" w:type="pct"/>
            <w:shd w:val="clear" w:color="auto" w:fill="FFFFFF"/>
            <w:vAlign w:val="center"/>
          </w:tcPr>
          <w:p w14:paraId="4B8478F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9" w:type="pct"/>
            <w:shd w:val="clear" w:color="auto" w:fill="FFFFFF"/>
            <w:vAlign w:val="center"/>
          </w:tcPr>
          <w:p w14:paraId="342220B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c>
          <w:tcPr>
            <w:tcW w:w="518" w:type="pct"/>
            <w:shd w:val="clear" w:color="auto" w:fill="FFFFFF"/>
            <w:vAlign w:val="center"/>
          </w:tcPr>
          <w:p w14:paraId="1C4D8C5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c>
          <w:tcPr>
            <w:tcW w:w="578" w:type="pct"/>
            <w:shd w:val="clear" w:color="auto" w:fill="FFFFFF"/>
            <w:vAlign w:val="center"/>
          </w:tcPr>
          <w:p w14:paraId="660D64C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1.002</w:t>
            </w:r>
          </w:p>
        </w:tc>
      </w:tr>
      <w:tr w:rsidR="002C438C" w:rsidRPr="002C438C" w14:paraId="29A4DAAB" w14:textId="77777777" w:rsidTr="002C438C">
        <w:trPr>
          <w:cantSplit/>
          <w:trHeight w:val="20"/>
          <w:jc w:val="center"/>
        </w:trPr>
        <w:tc>
          <w:tcPr>
            <w:tcW w:w="1646" w:type="pct"/>
            <w:shd w:val="clear" w:color="auto" w:fill="FFFFFF"/>
            <w:vAlign w:val="center"/>
          </w:tcPr>
          <w:p w14:paraId="743487A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Transition to Industry 5.0 * Structural Capital</w:t>
            </w:r>
          </w:p>
        </w:tc>
        <w:tc>
          <w:tcPr>
            <w:tcW w:w="453" w:type="pct"/>
            <w:shd w:val="clear" w:color="auto" w:fill="FFFFFF"/>
            <w:vAlign w:val="center"/>
          </w:tcPr>
          <w:p w14:paraId="1E45F37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w:t>
            </w:r>
            <w:r w:rsidRPr="002C438C">
              <w:rPr>
                <w:rFonts w:ascii="Times New Roman" w:hAnsi="Times New Roman" w:cs="Times New Roman"/>
                <w:color w:val="000000"/>
                <w:sz w:val="20"/>
                <w:vertAlign w:val="superscript"/>
              </w:rPr>
              <w:t>a</w:t>
            </w:r>
          </w:p>
        </w:tc>
        <w:tc>
          <w:tcPr>
            <w:tcW w:w="327" w:type="pct"/>
            <w:shd w:val="clear" w:color="auto" w:fill="FFFFFF"/>
            <w:vAlign w:val="center"/>
          </w:tcPr>
          <w:p w14:paraId="7C9A846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467" w:type="pct"/>
            <w:shd w:val="clear" w:color="auto" w:fill="FFFFFF"/>
            <w:vAlign w:val="center"/>
          </w:tcPr>
          <w:p w14:paraId="4ED76C7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295" w:type="pct"/>
            <w:shd w:val="clear" w:color="auto" w:fill="FFFFFF"/>
            <w:vAlign w:val="center"/>
          </w:tcPr>
          <w:p w14:paraId="3969F36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27" w:type="pct"/>
            <w:shd w:val="clear" w:color="auto" w:fill="FFFFFF"/>
            <w:vAlign w:val="center"/>
          </w:tcPr>
          <w:p w14:paraId="30AC1AF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389" w:type="pct"/>
            <w:shd w:val="clear" w:color="auto" w:fill="FFFFFF"/>
            <w:vAlign w:val="center"/>
          </w:tcPr>
          <w:p w14:paraId="5592B64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w:t>
            </w:r>
          </w:p>
        </w:tc>
        <w:tc>
          <w:tcPr>
            <w:tcW w:w="518" w:type="pct"/>
            <w:shd w:val="clear" w:color="auto" w:fill="FFFFFF"/>
            <w:vAlign w:val="center"/>
          </w:tcPr>
          <w:p w14:paraId="78672E4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c>
          <w:tcPr>
            <w:tcW w:w="578" w:type="pct"/>
            <w:shd w:val="clear" w:color="auto" w:fill="FFFFFF"/>
            <w:vAlign w:val="center"/>
          </w:tcPr>
          <w:p w14:paraId="2968843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w:t>
            </w:r>
          </w:p>
        </w:tc>
      </w:tr>
      <w:tr w:rsidR="002C438C" w:rsidRPr="002C438C" w14:paraId="3A2B01B0" w14:textId="77777777" w:rsidTr="002C438C">
        <w:trPr>
          <w:cantSplit/>
          <w:trHeight w:val="20"/>
          <w:jc w:val="center"/>
        </w:trPr>
        <w:tc>
          <w:tcPr>
            <w:tcW w:w="5000" w:type="pct"/>
            <w:gridSpan w:val="9"/>
            <w:shd w:val="clear" w:color="auto" w:fill="FFFFFF"/>
            <w:vAlign w:val="center"/>
          </w:tcPr>
          <w:p w14:paraId="34659DC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Dependent Variable: Restaurants’ economic behavior</w:t>
            </w:r>
          </w:p>
          <w:p w14:paraId="3963867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Model: (Intercept), Industry level, Human Capital, Relational Capital, Structural Capital, Industry level * Human Capital, Industry level * Relational Capital, Industry level * Structural Capital</w:t>
            </w:r>
          </w:p>
        </w:tc>
      </w:tr>
      <w:tr w:rsidR="002C438C" w:rsidRPr="002C438C" w14:paraId="7486ABCA" w14:textId="77777777" w:rsidTr="002C438C">
        <w:trPr>
          <w:cantSplit/>
          <w:trHeight w:val="20"/>
          <w:jc w:val="center"/>
        </w:trPr>
        <w:tc>
          <w:tcPr>
            <w:tcW w:w="5000" w:type="pct"/>
            <w:gridSpan w:val="9"/>
            <w:shd w:val="clear" w:color="auto" w:fill="FFFFFF"/>
            <w:vAlign w:val="center"/>
          </w:tcPr>
          <w:p w14:paraId="1EEC911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szCs w:val="18"/>
              </w:rPr>
            </w:pPr>
            <w:r w:rsidRPr="002C438C">
              <w:rPr>
                <w:rFonts w:ascii="Times New Roman" w:hAnsi="Times New Roman" w:cs="Times New Roman"/>
                <w:color w:val="000000"/>
                <w:sz w:val="20"/>
                <w:szCs w:val="18"/>
              </w:rPr>
              <w:t>a. Set to zero because this parameter is redundant.</w:t>
            </w:r>
          </w:p>
        </w:tc>
      </w:tr>
    </w:tbl>
    <w:p w14:paraId="6D796A6D" w14:textId="77777777" w:rsidR="002C438C" w:rsidRPr="002C438C"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rPr>
        <w:t xml:space="preserve">This indicates that mature restaurants leverage their established systems, workforce, and customer relationships in an integrated manner when navigating technological transitions. However, the practical significance of these influences is very low; the associated changes in the probability of </w:t>
      </w:r>
      <w:proofErr w:type="gramStart"/>
      <w:r w:rsidRPr="002C438C">
        <w:rPr>
          <w:rFonts w:ascii="Times New Roman" w:hAnsi="Times New Roman" w:cs="Times New Roman"/>
        </w:rPr>
        <w:t>adaption</w:t>
      </w:r>
      <w:proofErr w:type="gramEnd"/>
      <w:r w:rsidRPr="002C438C">
        <w:rPr>
          <w:rFonts w:ascii="Times New Roman" w:hAnsi="Times New Roman" w:cs="Times New Roman"/>
        </w:rPr>
        <w:t xml:space="preserve"> are minimal, as reflected in odds ratios very close to 1.</w:t>
      </w:r>
    </w:p>
    <w:p w14:paraId="65F4D626" w14:textId="77777777"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rPr>
        <w:t xml:space="preserve">Based on the </w:t>
      </w:r>
      <w:proofErr w:type="gramStart"/>
      <w:r w:rsidRPr="002C438C">
        <w:rPr>
          <w:rFonts w:ascii="Times New Roman" w:hAnsi="Times New Roman" w:cs="Times New Roman"/>
        </w:rPr>
        <w:t>aforementioned data</w:t>
      </w:r>
      <w:proofErr w:type="gramEnd"/>
      <w:r w:rsidRPr="002C438C">
        <w:rPr>
          <w:rFonts w:ascii="Times New Roman" w:hAnsi="Times New Roman" w:cs="Times New Roman"/>
        </w:rPr>
        <w:t>, it can be stated that the economic behavior of the mature restaurants (RB</w:t>
      </w:r>
      <w:r w:rsidRPr="002C438C">
        <w:rPr>
          <w:rFonts w:ascii="Times New Roman" w:hAnsi="Times New Roman" w:cs="Times New Roman"/>
          <w:vertAlign w:val="subscript"/>
        </w:rPr>
        <w:t>M</w:t>
      </w:r>
      <w:r w:rsidRPr="002C438C">
        <w:rPr>
          <w:rFonts w:ascii="Times New Roman" w:hAnsi="Times New Roman" w:cs="Times New Roman"/>
        </w:rPr>
        <w:t>) can be predicted based on the following equation:</w:t>
      </w:r>
    </w:p>
    <w:p w14:paraId="7CC86810" w14:textId="77777777" w:rsidR="002C438C" w:rsidRPr="002C438C" w:rsidRDefault="002C438C" w:rsidP="002C438C">
      <w:pPr>
        <w:shd w:val="clear" w:color="auto" w:fill="FFFFFF"/>
        <w:ind w:left="1985" w:right="-1" w:hanging="1985"/>
        <w:rPr>
          <w:rFonts w:ascii="Times New Roman" w:hAnsi="Times New Roman" w:cs="Times New Roman"/>
        </w:rPr>
      </w:pPr>
      <m:oMath>
        <m:r>
          <w:rPr>
            <w:rFonts w:ascii="Times New Roman" w:hAnsi="Times New Roman" w:cs="Times New Roman"/>
          </w:rPr>
          <m:t>Log-odds</m:t>
        </m:r>
        <m:d>
          <m:dPr>
            <m:ctrlPr>
              <w:rPr>
                <w:rFonts w:ascii="Times New Roman" w:hAnsi="Times New Roman" w:cs="Times New Roman"/>
                <w:i/>
              </w:rPr>
            </m:ctrlPr>
          </m:dPr>
          <m:e>
            <m:sSub>
              <m:sSubPr>
                <m:ctrlPr>
                  <w:rPr>
                    <w:rFonts w:ascii="Times New Roman" w:hAnsi="Times New Roman" w:cs="Times New Roman"/>
                    <w:i/>
                  </w:rPr>
                </m:ctrlPr>
              </m:sSubPr>
              <m:e>
                <m:r>
                  <w:rPr>
                    <w:rFonts w:ascii="Times New Roman" w:hAnsi="Times New Roman" w:cs="Times New Roman"/>
                  </w:rPr>
                  <m:t>RB</m:t>
                </m:r>
              </m:e>
              <m:sub>
                <m:r>
                  <w:rPr>
                    <w:rFonts w:ascii="Times New Roman" w:hAnsi="Times New Roman" w:cs="Times New Roman"/>
                  </w:rPr>
                  <m:t>M</m:t>
                </m:r>
              </m:sub>
            </m:sSub>
          </m:e>
        </m:d>
        <m:r>
          <w:rPr>
            <w:rFonts w:ascii="Times New Roman" w:hAnsi="Times New Roman" w:cs="Times New Roman"/>
          </w:rPr>
          <m:t>=-0.250+</m:t>
        </m:r>
        <m:d>
          <m:dPr>
            <m:ctrlPr>
              <w:rPr>
                <w:rFonts w:ascii="Times New Roman" w:hAnsi="Times New Roman" w:cs="Times New Roman"/>
                <w:i/>
              </w:rPr>
            </m:ctrlPr>
          </m:dPr>
          <m:e>
            <m:r>
              <w:rPr>
                <w:rFonts w:ascii="Times New Roman" w:hAnsi="Times New Roman" w:cs="Times New Roman"/>
              </w:rPr>
              <m:t>-1.112*Industry 4.0</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-0.001*Human Capital)+(0.003*Relational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0.005*Structural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0.001*Industry 4.0*Human Capital</m:t>
            </m:r>
          </m:e>
        </m:d>
        <m:r>
          <w:rPr>
            <w:rFonts w:ascii="Times New Roman" w:hAnsi="Times New Roman" w:cs="Times New Roman"/>
          </w:rPr>
          <m:t>+</m:t>
        </m:r>
        <m:d>
          <m:dPr>
            <m:ctrlPr>
              <w:rPr>
                <w:rFonts w:ascii="Times New Roman" w:hAnsi="Times New Roman" w:cs="Times New Roman"/>
                <w:i/>
              </w:rPr>
            </m:ctrlPr>
          </m:dPr>
          <m:e>
            <m:r>
              <w:rPr>
                <w:rFonts w:ascii="Times New Roman" w:hAnsi="Times New Roman" w:cs="Times New Roman"/>
              </w:rPr>
              <m:t>0.004*Industry 4.0*Relational Capital</m:t>
            </m:r>
          </m:e>
        </m:d>
        <m:r>
          <w:rPr>
            <w:rFonts w:ascii="Times New Roman" w:hAnsi="Times New Roman" w:cs="Times New Roman"/>
          </w:rPr>
          <m:t>+(0.001*Industry 4.0*Structural Capital)</m:t>
        </m:r>
      </m:oMath>
      <w:r w:rsidRPr="002C438C">
        <w:rPr>
          <w:rFonts w:ascii="Times New Roman" w:hAnsi="Times New Roman" w:cs="Times New Roman"/>
        </w:rPr>
        <w:t xml:space="preserve">        (4)</w:t>
      </w:r>
    </w:p>
    <w:p w14:paraId="2F4D1C1C" w14:textId="77777777" w:rsidR="002C438C" w:rsidRPr="002C438C"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rPr>
        <w:lastRenderedPageBreak/>
        <w:t xml:space="preserve">To ensure the reliability and validity of the findings, a robustness check is performed using a panel random-effects logit model. As reflected in Table 7, the significance (p&lt;0.05) and direction (positive/negative sign) of the key coefficients for the IC dimensions remained materially unchanged for restaurants across all three maturity categories. </w:t>
      </w:r>
    </w:p>
    <w:p w14:paraId="3C3C2009" w14:textId="77777777" w:rsidR="002C438C" w:rsidRPr="002C438C" w:rsidRDefault="002C438C" w:rsidP="002C438C">
      <w:pPr>
        <w:adjustRightInd w:val="0"/>
        <w:spacing w:before="120" w:after="0" w:line="240" w:lineRule="auto"/>
        <w:jc w:val="center"/>
        <w:rPr>
          <w:rFonts w:ascii="Times New Roman" w:hAnsi="Times New Roman" w:cs="Times New Roman"/>
          <w:i/>
          <w:iCs/>
        </w:rPr>
      </w:pPr>
      <w:r w:rsidRPr="002C438C">
        <w:rPr>
          <w:rFonts w:ascii="Times New Roman" w:hAnsi="Times New Roman" w:cs="Times New Roman"/>
          <w:i/>
          <w:iCs/>
        </w:rPr>
        <w:t>Table 7: Robustness check using random-effects logit model</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2" w:type="dxa"/>
          <w:left w:w="72" w:type="dxa"/>
          <w:bottom w:w="72" w:type="dxa"/>
          <w:right w:w="72" w:type="dxa"/>
        </w:tblCellMar>
        <w:tblLook w:val="0000" w:firstRow="0" w:lastRow="0" w:firstColumn="0" w:lastColumn="0" w:noHBand="0" w:noVBand="0"/>
      </w:tblPr>
      <w:tblGrid>
        <w:gridCol w:w="976"/>
        <w:gridCol w:w="2694"/>
        <w:gridCol w:w="706"/>
        <w:gridCol w:w="565"/>
        <w:gridCol w:w="495"/>
        <w:gridCol w:w="814"/>
        <w:gridCol w:w="658"/>
        <w:gridCol w:w="711"/>
        <w:gridCol w:w="700"/>
        <w:gridCol w:w="845"/>
      </w:tblGrid>
      <w:tr w:rsidR="0029675A" w:rsidRPr="002C438C" w14:paraId="2F7461B9" w14:textId="77777777" w:rsidTr="0029675A">
        <w:trPr>
          <w:cantSplit/>
          <w:trHeight w:val="20"/>
          <w:jc w:val="center"/>
        </w:trPr>
        <w:tc>
          <w:tcPr>
            <w:tcW w:w="533" w:type="pct"/>
            <w:vMerge w:val="restart"/>
            <w:shd w:val="clear" w:color="auto" w:fill="FFFFFF"/>
            <w:vAlign w:val="center"/>
          </w:tcPr>
          <w:p w14:paraId="69A5C625"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9675A">
              <w:rPr>
                <w:rFonts w:ascii="Times New Roman" w:hAnsi="Times New Roman" w:cs="Times New Roman"/>
                <w:b/>
                <w:color w:val="000000"/>
                <w:sz w:val="18"/>
                <w:szCs w:val="20"/>
              </w:rPr>
              <w:t>Category</w:t>
            </w:r>
          </w:p>
        </w:tc>
        <w:tc>
          <w:tcPr>
            <w:tcW w:w="1470" w:type="pct"/>
            <w:vMerge w:val="restart"/>
            <w:shd w:val="clear" w:color="auto" w:fill="FFFFFF"/>
            <w:vAlign w:val="center"/>
          </w:tcPr>
          <w:p w14:paraId="17AF6138"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Parameter</w:t>
            </w:r>
          </w:p>
        </w:tc>
        <w:tc>
          <w:tcPr>
            <w:tcW w:w="1407" w:type="pct"/>
            <w:gridSpan w:val="4"/>
            <w:shd w:val="clear" w:color="auto" w:fill="FFFFFF"/>
            <w:vAlign w:val="center"/>
          </w:tcPr>
          <w:p w14:paraId="3E316AC6"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Random-effects logit model</w:t>
            </w:r>
          </w:p>
        </w:tc>
        <w:tc>
          <w:tcPr>
            <w:tcW w:w="1590" w:type="pct"/>
            <w:gridSpan w:val="4"/>
            <w:shd w:val="clear" w:color="auto" w:fill="FFFFFF"/>
            <w:vAlign w:val="center"/>
          </w:tcPr>
          <w:p w14:paraId="08DA0812"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GEE model</w:t>
            </w:r>
          </w:p>
        </w:tc>
      </w:tr>
      <w:tr w:rsidR="0029675A" w:rsidRPr="002C438C" w14:paraId="24E006D1" w14:textId="77777777" w:rsidTr="0029675A">
        <w:trPr>
          <w:cantSplit/>
          <w:trHeight w:val="20"/>
          <w:jc w:val="center"/>
        </w:trPr>
        <w:tc>
          <w:tcPr>
            <w:tcW w:w="533" w:type="pct"/>
            <w:vMerge/>
            <w:shd w:val="clear" w:color="auto" w:fill="FFFFFF"/>
            <w:vAlign w:val="center"/>
          </w:tcPr>
          <w:p w14:paraId="1ED5BF1D"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1470" w:type="pct"/>
            <w:vMerge/>
            <w:shd w:val="clear" w:color="auto" w:fill="FFFFFF"/>
            <w:vAlign w:val="center"/>
          </w:tcPr>
          <w:p w14:paraId="09118B43"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p>
        </w:tc>
        <w:tc>
          <w:tcPr>
            <w:tcW w:w="385" w:type="pct"/>
            <w:shd w:val="clear" w:color="auto" w:fill="FFFFFF"/>
            <w:vAlign w:val="center"/>
          </w:tcPr>
          <w:p w14:paraId="01184703"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B</w:t>
            </w:r>
          </w:p>
        </w:tc>
        <w:tc>
          <w:tcPr>
            <w:tcW w:w="308" w:type="pct"/>
            <w:shd w:val="clear" w:color="auto" w:fill="FFFFFF"/>
            <w:vAlign w:val="center"/>
          </w:tcPr>
          <w:p w14:paraId="1B68DE03"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SE</w:t>
            </w:r>
          </w:p>
        </w:tc>
        <w:tc>
          <w:tcPr>
            <w:tcW w:w="270" w:type="pct"/>
            <w:shd w:val="clear" w:color="auto" w:fill="FFFFFF"/>
            <w:vAlign w:val="center"/>
          </w:tcPr>
          <w:p w14:paraId="2119DB1B"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Sig.</w:t>
            </w:r>
          </w:p>
        </w:tc>
        <w:tc>
          <w:tcPr>
            <w:tcW w:w="444" w:type="pct"/>
            <w:shd w:val="clear" w:color="auto" w:fill="FFFFFF"/>
            <w:vAlign w:val="center"/>
          </w:tcPr>
          <w:p w14:paraId="77F75AC2" w14:textId="640C120B" w:rsidR="002C438C" w:rsidRPr="002C438C" w:rsidRDefault="002C438C" w:rsidP="0029675A">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Exp (B)</w:t>
            </w:r>
          </w:p>
        </w:tc>
        <w:tc>
          <w:tcPr>
            <w:tcW w:w="359" w:type="pct"/>
            <w:shd w:val="clear" w:color="auto" w:fill="FFFFFF"/>
            <w:vAlign w:val="center"/>
          </w:tcPr>
          <w:p w14:paraId="6761B2A8"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B</w:t>
            </w:r>
          </w:p>
        </w:tc>
        <w:tc>
          <w:tcPr>
            <w:tcW w:w="388" w:type="pct"/>
            <w:shd w:val="clear" w:color="auto" w:fill="FFFFFF"/>
            <w:vAlign w:val="center"/>
          </w:tcPr>
          <w:p w14:paraId="2A0FC81A"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SE</w:t>
            </w:r>
          </w:p>
        </w:tc>
        <w:tc>
          <w:tcPr>
            <w:tcW w:w="382" w:type="pct"/>
            <w:shd w:val="clear" w:color="auto" w:fill="FFFFFF"/>
            <w:vAlign w:val="center"/>
          </w:tcPr>
          <w:p w14:paraId="3A7C4498"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Sig.</w:t>
            </w:r>
          </w:p>
        </w:tc>
        <w:tc>
          <w:tcPr>
            <w:tcW w:w="461" w:type="pct"/>
            <w:shd w:val="clear" w:color="auto" w:fill="FFFFFF"/>
            <w:vAlign w:val="center"/>
          </w:tcPr>
          <w:p w14:paraId="4C604912" w14:textId="77777777" w:rsidR="002C438C" w:rsidRPr="002C438C" w:rsidRDefault="002C438C" w:rsidP="002C438C">
            <w:pPr>
              <w:adjustRightInd w:val="0"/>
              <w:snapToGrid w:val="0"/>
              <w:spacing w:after="0" w:line="240" w:lineRule="auto"/>
              <w:jc w:val="center"/>
              <w:rPr>
                <w:rFonts w:ascii="Times New Roman" w:hAnsi="Times New Roman" w:cs="Times New Roman"/>
                <w:b/>
                <w:color w:val="000000"/>
                <w:sz w:val="20"/>
              </w:rPr>
            </w:pPr>
            <w:r w:rsidRPr="002C438C">
              <w:rPr>
                <w:rFonts w:ascii="Times New Roman" w:hAnsi="Times New Roman" w:cs="Times New Roman"/>
                <w:b/>
                <w:color w:val="000000"/>
                <w:sz w:val="20"/>
              </w:rPr>
              <w:t>Exp (B)</w:t>
            </w:r>
          </w:p>
        </w:tc>
      </w:tr>
      <w:tr w:rsidR="0029675A" w:rsidRPr="002C438C" w14:paraId="097A6FA4" w14:textId="77777777" w:rsidTr="0029675A">
        <w:trPr>
          <w:cantSplit/>
          <w:trHeight w:val="20"/>
          <w:jc w:val="center"/>
        </w:trPr>
        <w:tc>
          <w:tcPr>
            <w:tcW w:w="533" w:type="pct"/>
            <w:vMerge w:val="restart"/>
            <w:shd w:val="clear" w:color="auto" w:fill="FFFFFF"/>
            <w:textDirection w:val="btLr"/>
            <w:vAlign w:val="center"/>
          </w:tcPr>
          <w:p w14:paraId="41723A2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Overall Sample</w:t>
            </w:r>
          </w:p>
        </w:tc>
        <w:tc>
          <w:tcPr>
            <w:tcW w:w="1470" w:type="pct"/>
            <w:shd w:val="clear" w:color="auto" w:fill="FFFFFF"/>
            <w:vAlign w:val="center"/>
          </w:tcPr>
          <w:p w14:paraId="562D7C7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Human Capital</w:t>
            </w:r>
          </w:p>
        </w:tc>
        <w:tc>
          <w:tcPr>
            <w:tcW w:w="385" w:type="pct"/>
            <w:shd w:val="clear" w:color="auto" w:fill="FFFFFF"/>
            <w:vAlign w:val="center"/>
          </w:tcPr>
          <w:p w14:paraId="2A0C2DE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.002</w:t>
            </w:r>
          </w:p>
        </w:tc>
        <w:tc>
          <w:tcPr>
            <w:tcW w:w="308" w:type="pct"/>
            <w:shd w:val="clear" w:color="auto" w:fill="FFFFFF"/>
            <w:vAlign w:val="center"/>
          </w:tcPr>
          <w:p w14:paraId="3049E6D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.000</w:t>
            </w:r>
          </w:p>
        </w:tc>
        <w:tc>
          <w:tcPr>
            <w:tcW w:w="270" w:type="pct"/>
            <w:shd w:val="clear" w:color="auto" w:fill="FFFFFF"/>
            <w:vAlign w:val="center"/>
          </w:tcPr>
          <w:p w14:paraId="1E2A6E0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.002</w:t>
            </w:r>
          </w:p>
        </w:tc>
        <w:tc>
          <w:tcPr>
            <w:tcW w:w="444" w:type="pct"/>
            <w:shd w:val="clear" w:color="auto" w:fill="FFFFFF"/>
            <w:vAlign w:val="center"/>
          </w:tcPr>
          <w:p w14:paraId="5CCAB4F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1.002</w:t>
            </w:r>
          </w:p>
        </w:tc>
        <w:tc>
          <w:tcPr>
            <w:tcW w:w="359" w:type="pct"/>
            <w:shd w:val="clear" w:color="auto" w:fill="FFFFFF"/>
            <w:vAlign w:val="center"/>
          </w:tcPr>
          <w:p w14:paraId="678C4B3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8" w:type="pct"/>
            <w:shd w:val="clear" w:color="auto" w:fill="FFFFFF"/>
            <w:vAlign w:val="center"/>
          </w:tcPr>
          <w:p w14:paraId="0C2DF8F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2" w:type="pct"/>
            <w:shd w:val="clear" w:color="auto" w:fill="FFFFFF"/>
            <w:vAlign w:val="center"/>
          </w:tcPr>
          <w:p w14:paraId="5AB3CA0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1" w:type="pct"/>
            <w:shd w:val="clear" w:color="auto" w:fill="FFFFFF"/>
            <w:vAlign w:val="center"/>
          </w:tcPr>
          <w:p w14:paraId="3E5978C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r>
      <w:tr w:rsidR="0029675A" w:rsidRPr="002C438C" w14:paraId="752E3A7D" w14:textId="77777777" w:rsidTr="0029675A">
        <w:trPr>
          <w:cantSplit/>
          <w:trHeight w:val="20"/>
          <w:jc w:val="center"/>
        </w:trPr>
        <w:tc>
          <w:tcPr>
            <w:tcW w:w="533" w:type="pct"/>
            <w:vMerge/>
            <w:shd w:val="clear" w:color="auto" w:fill="FFFFFF"/>
            <w:vAlign w:val="center"/>
          </w:tcPr>
          <w:p w14:paraId="39198CC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243B13A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Relational Capital</w:t>
            </w:r>
          </w:p>
        </w:tc>
        <w:tc>
          <w:tcPr>
            <w:tcW w:w="385" w:type="pct"/>
            <w:shd w:val="clear" w:color="auto" w:fill="FFFFFF"/>
            <w:vAlign w:val="center"/>
          </w:tcPr>
          <w:p w14:paraId="096DA13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-.002</w:t>
            </w:r>
          </w:p>
        </w:tc>
        <w:tc>
          <w:tcPr>
            <w:tcW w:w="308" w:type="pct"/>
            <w:shd w:val="clear" w:color="auto" w:fill="FFFFFF"/>
            <w:vAlign w:val="center"/>
          </w:tcPr>
          <w:p w14:paraId="4DCEB9F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.005</w:t>
            </w:r>
          </w:p>
        </w:tc>
        <w:tc>
          <w:tcPr>
            <w:tcW w:w="270" w:type="pct"/>
            <w:shd w:val="clear" w:color="auto" w:fill="FFFFFF"/>
            <w:vAlign w:val="center"/>
          </w:tcPr>
          <w:p w14:paraId="0EC1CDD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.617</w:t>
            </w:r>
          </w:p>
        </w:tc>
        <w:tc>
          <w:tcPr>
            <w:tcW w:w="444" w:type="pct"/>
            <w:shd w:val="clear" w:color="auto" w:fill="FFFFFF"/>
            <w:vAlign w:val="center"/>
          </w:tcPr>
          <w:p w14:paraId="3C01998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.998</w:t>
            </w:r>
          </w:p>
        </w:tc>
        <w:tc>
          <w:tcPr>
            <w:tcW w:w="359" w:type="pct"/>
            <w:shd w:val="clear" w:color="auto" w:fill="FFFFFF"/>
            <w:vAlign w:val="center"/>
          </w:tcPr>
          <w:p w14:paraId="246B984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8" w:type="pct"/>
            <w:shd w:val="clear" w:color="auto" w:fill="FFFFFF"/>
            <w:vAlign w:val="center"/>
          </w:tcPr>
          <w:p w14:paraId="4EBD932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2" w:type="pct"/>
            <w:shd w:val="clear" w:color="auto" w:fill="FFFFFF"/>
            <w:vAlign w:val="center"/>
          </w:tcPr>
          <w:p w14:paraId="59C3950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.423</w:t>
            </w:r>
          </w:p>
        </w:tc>
        <w:tc>
          <w:tcPr>
            <w:tcW w:w="461" w:type="pct"/>
            <w:shd w:val="clear" w:color="auto" w:fill="FFFFFF"/>
            <w:vAlign w:val="center"/>
          </w:tcPr>
          <w:p w14:paraId="3F387D5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.999</w:t>
            </w:r>
          </w:p>
        </w:tc>
      </w:tr>
      <w:tr w:rsidR="0029675A" w:rsidRPr="002C438C" w14:paraId="2E550BAC" w14:textId="77777777" w:rsidTr="0029675A">
        <w:trPr>
          <w:cantSplit/>
          <w:trHeight w:val="20"/>
          <w:jc w:val="center"/>
        </w:trPr>
        <w:tc>
          <w:tcPr>
            <w:tcW w:w="533" w:type="pct"/>
            <w:vMerge/>
            <w:shd w:val="clear" w:color="auto" w:fill="FFFFFF"/>
            <w:vAlign w:val="center"/>
          </w:tcPr>
          <w:p w14:paraId="0986C83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12BBDB1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Structural Capital</w:t>
            </w:r>
          </w:p>
        </w:tc>
        <w:tc>
          <w:tcPr>
            <w:tcW w:w="385" w:type="pct"/>
            <w:shd w:val="clear" w:color="auto" w:fill="FFFFFF"/>
            <w:vAlign w:val="center"/>
          </w:tcPr>
          <w:p w14:paraId="4BD0FDE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-.012</w:t>
            </w:r>
          </w:p>
        </w:tc>
        <w:tc>
          <w:tcPr>
            <w:tcW w:w="308" w:type="pct"/>
            <w:shd w:val="clear" w:color="auto" w:fill="FFFFFF"/>
            <w:vAlign w:val="center"/>
          </w:tcPr>
          <w:p w14:paraId="2BA8C2F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.017</w:t>
            </w:r>
          </w:p>
        </w:tc>
        <w:tc>
          <w:tcPr>
            <w:tcW w:w="270" w:type="pct"/>
            <w:shd w:val="clear" w:color="auto" w:fill="FFFFFF"/>
            <w:vAlign w:val="center"/>
          </w:tcPr>
          <w:p w14:paraId="044C148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.421</w:t>
            </w:r>
          </w:p>
        </w:tc>
        <w:tc>
          <w:tcPr>
            <w:tcW w:w="444" w:type="pct"/>
            <w:shd w:val="clear" w:color="auto" w:fill="FFFFFF"/>
            <w:vAlign w:val="center"/>
          </w:tcPr>
          <w:p w14:paraId="75BBA17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.988</w:t>
            </w:r>
          </w:p>
        </w:tc>
        <w:tc>
          <w:tcPr>
            <w:tcW w:w="359" w:type="pct"/>
            <w:shd w:val="clear" w:color="auto" w:fill="FFFFFF"/>
            <w:vAlign w:val="center"/>
          </w:tcPr>
          <w:p w14:paraId="3A2DE45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-.007</w:t>
            </w:r>
          </w:p>
        </w:tc>
        <w:tc>
          <w:tcPr>
            <w:tcW w:w="388" w:type="pct"/>
            <w:shd w:val="clear" w:color="auto" w:fill="FFFFFF"/>
            <w:vAlign w:val="center"/>
          </w:tcPr>
          <w:p w14:paraId="0D9E9C2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.006</w:t>
            </w:r>
          </w:p>
        </w:tc>
        <w:tc>
          <w:tcPr>
            <w:tcW w:w="382" w:type="pct"/>
            <w:shd w:val="clear" w:color="auto" w:fill="FFFFFF"/>
            <w:vAlign w:val="center"/>
          </w:tcPr>
          <w:p w14:paraId="18D8576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.256</w:t>
            </w:r>
          </w:p>
        </w:tc>
        <w:tc>
          <w:tcPr>
            <w:tcW w:w="461" w:type="pct"/>
            <w:shd w:val="clear" w:color="auto" w:fill="FFFFFF"/>
            <w:vAlign w:val="center"/>
          </w:tcPr>
          <w:p w14:paraId="3E9D29B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.993</w:t>
            </w:r>
          </w:p>
        </w:tc>
      </w:tr>
      <w:tr w:rsidR="0029675A" w:rsidRPr="002C438C" w14:paraId="29351E1E" w14:textId="77777777" w:rsidTr="0029675A">
        <w:trPr>
          <w:cantSplit/>
          <w:trHeight w:val="20"/>
          <w:jc w:val="center"/>
        </w:trPr>
        <w:tc>
          <w:tcPr>
            <w:tcW w:w="533" w:type="pct"/>
            <w:vMerge/>
            <w:shd w:val="clear" w:color="auto" w:fill="FFFFFF"/>
            <w:vAlign w:val="center"/>
          </w:tcPr>
          <w:p w14:paraId="0FAD8AF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0FB8280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Human Capital</w:t>
            </w:r>
          </w:p>
        </w:tc>
        <w:tc>
          <w:tcPr>
            <w:tcW w:w="385" w:type="pct"/>
            <w:shd w:val="clear" w:color="auto" w:fill="FFFFFF"/>
            <w:vAlign w:val="center"/>
          </w:tcPr>
          <w:p w14:paraId="26E369C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-.001</w:t>
            </w:r>
          </w:p>
        </w:tc>
        <w:tc>
          <w:tcPr>
            <w:tcW w:w="308" w:type="pct"/>
            <w:shd w:val="clear" w:color="auto" w:fill="FFFFFF"/>
            <w:vAlign w:val="center"/>
          </w:tcPr>
          <w:p w14:paraId="7D5DF91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.002</w:t>
            </w:r>
          </w:p>
        </w:tc>
        <w:tc>
          <w:tcPr>
            <w:tcW w:w="270" w:type="pct"/>
            <w:shd w:val="clear" w:color="auto" w:fill="FFFFFF"/>
            <w:vAlign w:val="center"/>
          </w:tcPr>
          <w:p w14:paraId="1928F21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.001</w:t>
            </w:r>
          </w:p>
        </w:tc>
        <w:tc>
          <w:tcPr>
            <w:tcW w:w="444" w:type="pct"/>
            <w:shd w:val="clear" w:color="auto" w:fill="FFFFFF"/>
            <w:vAlign w:val="center"/>
          </w:tcPr>
          <w:p w14:paraId="52DC525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.999</w:t>
            </w:r>
          </w:p>
        </w:tc>
        <w:tc>
          <w:tcPr>
            <w:tcW w:w="359" w:type="pct"/>
            <w:shd w:val="clear" w:color="auto" w:fill="FFFFFF"/>
            <w:vAlign w:val="center"/>
          </w:tcPr>
          <w:p w14:paraId="6950BD3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8" w:type="pct"/>
            <w:shd w:val="clear" w:color="auto" w:fill="FFFFFF"/>
            <w:vAlign w:val="center"/>
          </w:tcPr>
          <w:p w14:paraId="59778B0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2" w:type="pct"/>
            <w:shd w:val="clear" w:color="auto" w:fill="FFFFFF"/>
            <w:vAlign w:val="center"/>
          </w:tcPr>
          <w:p w14:paraId="5A1D26D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.003</w:t>
            </w:r>
          </w:p>
        </w:tc>
        <w:tc>
          <w:tcPr>
            <w:tcW w:w="461" w:type="pct"/>
            <w:shd w:val="clear" w:color="auto" w:fill="FFFFFF"/>
            <w:vAlign w:val="center"/>
          </w:tcPr>
          <w:p w14:paraId="2B66FE4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.999</w:t>
            </w:r>
          </w:p>
        </w:tc>
      </w:tr>
      <w:tr w:rsidR="0029675A" w:rsidRPr="002C438C" w14:paraId="1F5BBED8" w14:textId="77777777" w:rsidTr="0029675A">
        <w:trPr>
          <w:cantSplit/>
          <w:trHeight w:val="20"/>
          <w:jc w:val="center"/>
        </w:trPr>
        <w:tc>
          <w:tcPr>
            <w:tcW w:w="533" w:type="pct"/>
            <w:vMerge/>
            <w:shd w:val="clear" w:color="auto" w:fill="FFFFFF"/>
            <w:vAlign w:val="center"/>
          </w:tcPr>
          <w:p w14:paraId="75D12D3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74C0089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Relational Capital</w:t>
            </w:r>
          </w:p>
        </w:tc>
        <w:tc>
          <w:tcPr>
            <w:tcW w:w="385" w:type="pct"/>
            <w:shd w:val="clear" w:color="auto" w:fill="FFFFFF"/>
            <w:vAlign w:val="center"/>
          </w:tcPr>
          <w:p w14:paraId="06168DD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.002</w:t>
            </w:r>
          </w:p>
        </w:tc>
        <w:tc>
          <w:tcPr>
            <w:tcW w:w="308" w:type="pct"/>
            <w:shd w:val="clear" w:color="auto" w:fill="FFFFFF"/>
            <w:vAlign w:val="center"/>
          </w:tcPr>
          <w:p w14:paraId="2A4CCDE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.005</w:t>
            </w:r>
          </w:p>
        </w:tc>
        <w:tc>
          <w:tcPr>
            <w:tcW w:w="270" w:type="pct"/>
            <w:shd w:val="clear" w:color="auto" w:fill="FFFFFF"/>
            <w:vAlign w:val="center"/>
          </w:tcPr>
          <w:p w14:paraId="5F84958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.624</w:t>
            </w:r>
          </w:p>
        </w:tc>
        <w:tc>
          <w:tcPr>
            <w:tcW w:w="444" w:type="pct"/>
            <w:shd w:val="clear" w:color="auto" w:fill="FFFFFF"/>
            <w:vAlign w:val="center"/>
          </w:tcPr>
          <w:p w14:paraId="7C6917C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1.002</w:t>
            </w:r>
          </w:p>
        </w:tc>
        <w:tc>
          <w:tcPr>
            <w:tcW w:w="359" w:type="pct"/>
            <w:shd w:val="clear" w:color="auto" w:fill="FFFFFF"/>
            <w:vAlign w:val="center"/>
          </w:tcPr>
          <w:p w14:paraId="66C164C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8" w:type="pct"/>
            <w:shd w:val="clear" w:color="auto" w:fill="FFFFFF"/>
            <w:vAlign w:val="center"/>
          </w:tcPr>
          <w:p w14:paraId="24436D4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2" w:type="pct"/>
            <w:shd w:val="clear" w:color="auto" w:fill="FFFFFF"/>
            <w:vAlign w:val="center"/>
          </w:tcPr>
          <w:p w14:paraId="49C3E78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.852</w:t>
            </w:r>
          </w:p>
        </w:tc>
        <w:tc>
          <w:tcPr>
            <w:tcW w:w="461" w:type="pct"/>
            <w:shd w:val="clear" w:color="auto" w:fill="FFFFFF"/>
            <w:vAlign w:val="center"/>
          </w:tcPr>
          <w:p w14:paraId="7B9507D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r>
      <w:tr w:rsidR="0029675A" w:rsidRPr="002C438C" w14:paraId="244B90D7" w14:textId="77777777" w:rsidTr="0029675A">
        <w:trPr>
          <w:cantSplit/>
          <w:trHeight w:val="20"/>
          <w:jc w:val="center"/>
        </w:trPr>
        <w:tc>
          <w:tcPr>
            <w:tcW w:w="533" w:type="pct"/>
            <w:vMerge/>
            <w:shd w:val="clear" w:color="auto" w:fill="FFFFFF"/>
            <w:vAlign w:val="center"/>
          </w:tcPr>
          <w:p w14:paraId="1DB52D3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4A94CBD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Structural Capital</w:t>
            </w:r>
          </w:p>
        </w:tc>
        <w:tc>
          <w:tcPr>
            <w:tcW w:w="385" w:type="pct"/>
            <w:shd w:val="clear" w:color="auto" w:fill="FFFFFF"/>
            <w:vAlign w:val="center"/>
          </w:tcPr>
          <w:p w14:paraId="495D7CD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.009</w:t>
            </w:r>
          </w:p>
        </w:tc>
        <w:tc>
          <w:tcPr>
            <w:tcW w:w="308" w:type="pct"/>
            <w:shd w:val="clear" w:color="auto" w:fill="FFFFFF"/>
            <w:vAlign w:val="center"/>
          </w:tcPr>
          <w:p w14:paraId="228ABCE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.017</w:t>
            </w:r>
          </w:p>
        </w:tc>
        <w:tc>
          <w:tcPr>
            <w:tcW w:w="270" w:type="pct"/>
            <w:shd w:val="clear" w:color="auto" w:fill="FFFFFF"/>
            <w:vAlign w:val="center"/>
          </w:tcPr>
          <w:p w14:paraId="3F7E261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.415</w:t>
            </w:r>
          </w:p>
        </w:tc>
        <w:tc>
          <w:tcPr>
            <w:tcW w:w="444" w:type="pct"/>
            <w:shd w:val="clear" w:color="auto" w:fill="FFFFFF"/>
            <w:vAlign w:val="center"/>
          </w:tcPr>
          <w:p w14:paraId="6587117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1.009</w:t>
            </w:r>
          </w:p>
        </w:tc>
        <w:tc>
          <w:tcPr>
            <w:tcW w:w="359" w:type="pct"/>
            <w:shd w:val="clear" w:color="auto" w:fill="FFFFFF"/>
            <w:vAlign w:val="center"/>
          </w:tcPr>
          <w:p w14:paraId="09B62AB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.006</w:t>
            </w:r>
          </w:p>
        </w:tc>
        <w:tc>
          <w:tcPr>
            <w:tcW w:w="388" w:type="pct"/>
            <w:shd w:val="clear" w:color="auto" w:fill="FFFFFF"/>
            <w:vAlign w:val="center"/>
          </w:tcPr>
          <w:p w14:paraId="2C92A86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.006</w:t>
            </w:r>
          </w:p>
        </w:tc>
        <w:tc>
          <w:tcPr>
            <w:tcW w:w="382" w:type="pct"/>
            <w:shd w:val="clear" w:color="auto" w:fill="FFFFFF"/>
            <w:vAlign w:val="center"/>
          </w:tcPr>
          <w:p w14:paraId="1153F23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.313</w:t>
            </w:r>
          </w:p>
        </w:tc>
        <w:tc>
          <w:tcPr>
            <w:tcW w:w="461" w:type="pct"/>
            <w:shd w:val="clear" w:color="auto" w:fill="FFFFFF"/>
            <w:vAlign w:val="center"/>
          </w:tcPr>
          <w:p w14:paraId="5C7F8CD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1.006</w:t>
            </w:r>
          </w:p>
        </w:tc>
      </w:tr>
      <w:tr w:rsidR="0029675A" w:rsidRPr="002C438C" w14:paraId="54A65DDB" w14:textId="77777777" w:rsidTr="0029675A">
        <w:trPr>
          <w:cantSplit/>
          <w:trHeight w:val="20"/>
          <w:jc w:val="center"/>
        </w:trPr>
        <w:tc>
          <w:tcPr>
            <w:tcW w:w="533" w:type="pct"/>
            <w:vMerge w:val="restart"/>
            <w:shd w:val="clear" w:color="auto" w:fill="FFFFFF"/>
            <w:textDirection w:val="btLr"/>
            <w:vAlign w:val="center"/>
          </w:tcPr>
          <w:p w14:paraId="0200557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Young Restaurants</w:t>
            </w:r>
          </w:p>
        </w:tc>
        <w:tc>
          <w:tcPr>
            <w:tcW w:w="1470" w:type="pct"/>
            <w:shd w:val="clear" w:color="auto" w:fill="FFFFFF"/>
            <w:vAlign w:val="center"/>
          </w:tcPr>
          <w:p w14:paraId="61DA482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Human Capital</w:t>
            </w:r>
          </w:p>
        </w:tc>
        <w:tc>
          <w:tcPr>
            <w:tcW w:w="385" w:type="pct"/>
            <w:shd w:val="clear" w:color="auto" w:fill="FFFFFF"/>
            <w:vAlign w:val="center"/>
          </w:tcPr>
          <w:p w14:paraId="0E100A2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1.052</w:t>
            </w:r>
          </w:p>
        </w:tc>
        <w:tc>
          <w:tcPr>
            <w:tcW w:w="308" w:type="pct"/>
            <w:shd w:val="clear" w:color="auto" w:fill="FFFFFF"/>
            <w:vAlign w:val="center"/>
          </w:tcPr>
          <w:p w14:paraId="1861FA7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.285</w:t>
            </w:r>
          </w:p>
        </w:tc>
        <w:tc>
          <w:tcPr>
            <w:tcW w:w="270" w:type="pct"/>
            <w:shd w:val="clear" w:color="auto" w:fill="FFFFFF"/>
            <w:vAlign w:val="center"/>
          </w:tcPr>
          <w:p w14:paraId="01D29CF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.008</w:t>
            </w:r>
          </w:p>
        </w:tc>
        <w:tc>
          <w:tcPr>
            <w:tcW w:w="444" w:type="pct"/>
            <w:shd w:val="clear" w:color="auto" w:fill="FFFFFF"/>
            <w:vAlign w:val="center"/>
          </w:tcPr>
          <w:p w14:paraId="07DBB11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2.863</w:t>
            </w:r>
          </w:p>
        </w:tc>
        <w:tc>
          <w:tcPr>
            <w:tcW w:w="359" w:type="pct"/>
            <w:shd w:val="clear" w:color="auto" w:fill="FFFFFF"/>
            <w:vAlign w:val="center"/>
          </w:tcPr>
          <w:p w14:paraId="12260D5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.986</w:t>
            </w:r>
          </w:p>
        </w:tc>
        <w:tc>
          <w:tcPr>
            <w:tcW w:w="388" w:type="pct"/>
            <w:shd w:val="clear" w:color="auto" w:fill="FFFFFF"/>
            <w:vAlign w:val="center"/>
          </w:tcPr>
          <w:p w14:paraId="58DA736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.267</w:t>
            </w:r>
          </w:p>
        </w:tc>
        <w:tc>
          <w:tcPr>
            <w:tcW w:w="382" w:type="pct"/>
            <w:shd w:val="clear" w:color="auto" w:fill="FFFFFF"/>
            <w:vAlign w:val="center"/>
          </w:tcPr>
          <w:p w14:paraId="4F88FDF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1" w:type="pct"/>
            <w:shd w:val="clear" w:color="auto" w:fill="FFFFFF"/>
            <w:vAlign w:val="center"/>
          </w:tcPr>
          <w:p w14:paraId="55846F1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2.680</w:t>
            </w:r>
          </w:p>
        </w:tc>
      </w:tr>
      <w:tr w:rsidR="0029675A" w:rsidRPr="002C438C" w14:paraId="748F2F12" w14:textId="77777777" w:rsidTr="0029675A">
        <w:trPr>
          <w:cantSplit/>
          <w:trHeight w:val="20"/>
          <w:jc w:val="center"/>
        </w:trPr>
        <w:tc>
          <w:tcPr>
            <w:tcW w:w="533" w:type="pct"/>
            <w:vMerge/>
            <w:shd w:val="clear" w:color="auto" w:fill="FFFFFF"/>
            <w:vAlign w:val="center"/>
          </w:tcPr>
          <w:p w14:paraId="0D6B839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70A4C47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Relational Capital</w:t>
            </w:r>
          </w:p>
        </w:tc>
        <w:tc>
          <w:tcPr>
            <w:tcW w:w="385" w:type="pct"/>
            <w:shd w:val="clear" w:color="auto" w:fill="FFFFFF"/>
            <w:vAlign w:val="center"/>
          </w:tcPr>
          <w:p w14:paraId="7C1236C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.017</w:t>
            </w:r>
          </w:p>
        </w:tc>
        <w:tc>
          <w:tcPr>
            <w:tcW w:w="308" w:type="pct"/>
            <w:shd w:val="clear" w:color="auto" w:fill="FFFFFF"/>
            <w:vAlign w:val="center"/>
          </w:tcPr>
          <w:p w14:paraId="61CBCAC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.012</w:t>
            </w:r>
          </w:p>
        </w:tc>
        <w:tc>
          <w:tcPr>
            <w:tcW w:w="270" w:type="pct"/>
            <w:shd w:val="clear" w:color="auto" w:fill="FFFFFF"/>
            <w:vAlign w:val="center"/>
          </w:tcPr>
          <w:p w14:paraId="622E27F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.001</w:t>
            </w:r>
          </w:p>
        </w:tc>
        <w:tc>
          <w:tcPr>
            <w:tcW w:w="444" w:type="pct"/>
            <w:shd w:val="clear" w:color="auto" w:fill="FFFFFF"/>
            <w:vAlign w:val="center"/>
          </w:tcPr>
          <w:p w14:paraId="1FBF8D5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1.017</w:t>
            </w:r>
          </w:p>
        </w:tc>
        <w:tc>
          <w:tcPr>
            <w:tcW w:w="359" w:type="pct"/>
            <w:shd w:val="clear" w:color="auto" w:fill="FFFFFF"/>
            <w:vAlign w:val="center"/>
          </w:tcPr>
          <w:p w14:paraId="129D0F7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.011</w:t>
            </w:r>
          </w:p>
        </w:tc>
        <w:tc>
          <w:tcPr>
            <w:tcW w:w="388" w:type="pct"/>
            <w:shd w:val="clear" w:color="auto" w:fill="FFFFFF"/>
            <w:vAlign w:val="center"/>
          </w:tcPr>
          <w:p w14:paraId="2E66A35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.005</w:t>
            </w:r>
          </w:p>
        </w:tc>
        <w:tc>
          <w:tcPr>
            <w:tcW w:w="382" w:type="pct"/>
            <w:shd w:val="clear" w:color="auto" w:fill="FFFFFF"/>
            <w:vAlign w:val="center"/>
          </w:tcPr>
          <w:p w14:paraId="329618E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.020</w:t>
            </w:r>
          </w:p>
        </w:tc>
        <w:tc>
          <w:tcPr>
            <w:tcW w:w="461" w:type="pct"/>
            <w:shd w:val="clear" w:color="auto" w:fill="FFFFFF"/>
            <w:vAlign w:val="center"/>
          </w:tcPr>
          <w:p w14:paraId="434621E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1.011</w:t>
            </w:r>
          </w:p>
        </w:tc>
      </w:tr>
      <w:tr w:rsidR="0029675A" w:rsidRPr="002C438C" w14:paraId="12D57A39" w14:textId="77777777" w:rsidTr="0029675A">
        <w:trPr>
          <w:cantSplit/>
          <w:trHeight w:val="20"/>
          <w:jc w:val="center"/>
        </w:trPr>
        <w:tc>
          <w:tcPr>
            <w:tcW w:w="533" w:type="pct"/>
            <w:vMerge/>
            <w:shd w:val="clear" w:color="auto" w:fill="FFFFFF"/>
            <w:vAlign w:val="center"/>
          </w:tcPr>
          <w:p w14:paraId="340DC06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0E9BC4E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Structural Capital</w:t>
            </w:r>
          </w:p>
        </w:tc>
        <w:tc>
          <w:tcPr>
            <w:tcW w:w="385" w:type="pct"/>
            <w:shd w:val="clear" w:color="auto" w:fill="FFFFFF"/>
            <w:vAlign w:val="center"/>
          </w:tcPr>
          <w:p w14:paraId="08DCB6D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.120</w:t>
            </w:r>
          </w:p>
        </w:tc>
        <w:tc>
          <w:tcPr>
            <w:tcW w:w="308" w:type="pct"/>
            <w:shd w:val="clear" w:color="auto" w:fill="FFFFFF"/>
            <w:vAlign w:val="center"/>
          </w:tcPr>
          <w:p w14:paraId="165E49E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.068</w:t>
            </w:r>
          </w:p>
        </w:tc>
        <w:tc>
          <w:tcPr>
            <w:tcW w:w="270" w:type="pct"/>
            <w:shd w:val="clear" w:color="auto" w:fill="FFFFFF"/>
            <w:vAlign w:val="center"/>
          </w:tcPr>
          <w:p w14:paraId="3A46759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.088</w:t>
            </w:r>
          </w:p>
        </w:tc>
        <w:tc>
          <w:tcPr>
            <w:tcW w:w="444" w:type="pct"/>
            <w:shd w:val="clear" w:color="auto" w:fill="FFFFFF"/>
            <w:vAlign w:val="center"/>
          </w:tcPr>
          <w:p w14:paraId="3C1AFF8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1.128</w:t>
            </w:r>
          </w:p>
        </w:tc>
        <w:tc>
          <w:tcPr>
            <w:tcW w:w="359" w:type="pct"/>
            <w:shd w:val="clear" w:color="auto" w:fill="FFFFFF"/>
            <w:vAlign w:val="center"/>
          </w:tcPr>
          <w:p w14:paraId="72CA6CD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.099</w:t>
            </w:r>
          </w:p>
        </w:tc>
        <w:tc>
          <w:tcPr>
            <w:tcW w:w="388" w:type="pct"/>
            <w:shd w:val="clear" w:color="auto" w:fill="FFFFFF"/>
            <w:vAlign w:val="center"/>
          </w:tcPr>
          <w:p w14:paraId="5ABE127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.053</w:t>
            </w:r>
          </w:p>
        </w:tc>
        <w:tc>
          <w:tcPr>
            <w:tcW w:w="382" w:type="pct"/>
            <w:shd w:val="clear" w:color="auto" w:fill="FFFFFF"/>
            <w:vAlign w:val="center"/>
          </w:tcPr>
          <w:p w14:paraId="48D6B55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.058</w:t>
            </w:r>
          </w:p>
        </w:tc>
        <w:tc>
          <w:tcPr>
            <w:tcW w:w="461" w:type="pct"/>
            <w:shd w:val="clear" w:color="auto" w:fill="FFFFFF"/>
            <w:vAlign w:val="center"/>
          </w:tcPr>
          <w:p w14:paraId="6FF7DC9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1.104</w:t>
            </w:r>
          </w:p>
        </w:tc>
      </w:tr>
      <w:tr w:rsidR="0029675A" w:rsidRPr="002C438C" w14:paraId="2385DFB1" w14:textId="77777777" w:rsidTr="0029675A">
        <w:trPr>
          <w:cantSplit/>
          <w:trHeight w:val="20"/>
          <w:jc w:val="center"/>
        </w:trPr>
        <w:tc>
          <w:tcPr>
            <w:tcW w:w="533" w:type="pct"/>
            <w:vMerge/>
            <w:shd w:val="clear" w:color="auto" w:fill="FFFFFF"/>
            <w:vAlign w:val="center"/>
          </w:tcPr>
          <w:p w14:paraId="22BEA49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06BC099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Human Capital</w:t>
            </w:r>
          </w:p>
        </w:tc>
        <w:tc>
          <w:tcPr>
            <w:tcW w:w="385" w:type="pct"/>
            <w:shd w:val="clear" w:color="auto" w:fill="FFFFFF"/>
            <w:vAlign w:val="center"/>
          </w:tcPr>
          <w:p w14:paraId="76C7F70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-.861</w:t>
            </w:r>
          </w:p>
        </w:tc>
        <w:tc>
          <w:tcPr>
            <w:tcW w:w="308" w:type="pct"/>
            <w:shd w:val="clear" w:color="auto" w:fill="FFFFFF"/>
            <w:vAlign w:val="center"/>
          </w:tcPr>
          <w:p w14:paraId="705CFBA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.284</w:t>
            </w:r>
          </w:p>
        </w:tc>
        <w:tc>
          <w:tcPr>
            <w:tcW w:w="270" w:type="pct"/>
            <w:shd w:val="clear" w:color="auto" w:fill="FFFFFF"/>
            <w:vAlign w:val="center"/>
          </w:tcPr>
          <w:p w14:paraId="3A2FC27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.005</w:t>
            </w:r>
          </w:p>
        </w:tc>
        <w:tc>
          <w:tcPr>
            <w:tcW w:w="444" w:type="pct"/>
            <w:shd w:val="clear" w:color="auto" w:fill="FFFFFF"/>
            <w:vAlign w:val="center"/>
          </w:tcPr>
          <w:p w14:paraId="55430B2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.423</w:t>
            </w:r>
          </w:p>
        </w:tc>
        <w:tc>
          <w:tcPr>
            <w:tcW w:w="359" w:type="pct"/>
            <w:shd w:val="clear" w:color="auto" w:fill="FFFFFF"/>
            <w:vAlign w:val="center"/>
          </w:tcPr>
          <w:p w14:paraId="080F56B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-.982</w:t>
            </w:r>
          </w:p>
        </w:tc>
        <w:tc>
          <w:tcPr>
            <w:tcW w:w="388" w:type="pct"/>
            <w:shd w:val="clear" w:color="auto" w:fill="FFFFFF"/>
            <w:vAlign w:val="center"/>
          </w:tcPr>
          <w:p w14:paraId="4F7EA73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.267</w:t>
            </w:r>
          </w:p>
        </w:tc>
        <w:tc>
          <w:tcPr>
            <w:tcW w:w="382" w:type="pct"/>
            <w:shd w:val="clear" w:color="auto" w:fill="FFFFFF"/>
            <w:vAlign w:val="center"/>
          </w:tcPr>
          <w:p w14:paraId="48E2933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1" w:type="pct"/>
            <w:shd w:val="clear" w:color="auto" w:fill="FFFFFF"/>
            <w:vAlign w:val="center"/>
          </w:tcPr>
          <w:p w14:paraId="3735BC4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.374</w:t>
            </w:r>
          </w:p>
        </w:tc>
      </w:tr>
      <w:tr w:rsidR="0029675A" w:rsidRPr="002C438C" w14:paraId="1E8A6626" w14:textId="77777777" w:rsidTr="0029675A">
        <w:trPr>
          <w:cantSplit/>
          <w:trHeight w:val="20"/>
          <w:jc w:val="center"/>
        </w:trPr>
        <w:tc>
          <w:tcPr>
            <w:tcW w:w="533" w:type="pct"/>
            <w:vMerge/>
            <w:shd w:val="clear" w:color="auto" w:fill="FFFFFF"/>
            <w:vAlign w:val="center"/>
          </w:tcPr>
          <w:p w14:paraId="61E35D9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6A8A775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Relational Capital</w:t>
            </w:r>
          </w:p>
        </w:tc>
        <w:tc>
          <w:tcPr>
            <w:tcW w:w="385" w:type="pct"/>
            <w:shd w:val="clear" w:color="auto" w:fill="FFFFFF"/>
            <w:vAlign w:val="center"/>
          </w:tcPr>
          <w:p w14:paraId="5D105C3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-.006</w:t>
            </w:r>
          </w:p>
        </w:tc>
        <w:tc>
          <w:tcPr>
            <w:tcW w:w="308" w:type="pct"/>
            <w:shd w:val="clear" w:color="auto" w:fill="FFFFFF"/>
            <w:vAlign w:val="center"/>
          </w:tcPr>
          <w:p w14:paraId="57AF1C4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.007</w:t>
            </w:r>
          </w:p>
        </w:tc>
        <w:tc>
          <w:tcPr>
            <w:tcW w:w="270" w:type="pct"/>
            <w:shd w:val="clear" w:color="auto" w:fill="FFFFFF"/>
            <w:vAlign w:val="center"/>
          </w:tcPr>
          <w:p w14:paraId="73DD79C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.109</w:t>
            </w:r>
          </w:p>
        </w:tc>
        <w:tc>
          <w:tcPr>
            <w:tcW w:w="444" w:type="pct"/>
            <w:shd w:val="clear" w:color="auto" w:fill="FFFFFF"/>
            <w:vAlign w:val="center"/>
          </w:tcPr>
          <w:p w14:paraId="1295D64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.994</w:t>
            </w:r>
          </w:p>
        </w:tc>
        <w:tc>
          <w:tcPr>
            <w:tcW w:w="359" w:type="pct"/>
            <w:shd w:val="clear" w:color="auto" w:fill="FFFFFF"/>
            <w:vAlign w:val="center"/>
          </w:tcPr>
          <w:p w14:paraId="19496B5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-.007</w:t>
            </w:r>
          </w:p>
        </w:tc>
        <w:tc>
          <w:tcPr>
            <w:tcW w:w="388" w:type="pct"/>
            <w:shd w:val="clear" w:color="auto" w:fill="FFFFFF"/>
            <w:vAlign w:val="center"/>
          </w:tcPr>
          <w:p w14:paraId="30A76F0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.006</w:t>
            </w:r>
          </w:p>
        </w:tc>
        <w:tc>
          <w:tcPr>
            <w:tcW w:w="382" w:type="pct"/>
            <w:shd w:val="clear" w:color="auto" w:fill="FFFFFF"/>
            <w:vAlign w:val="center"/>
          </w:tcPr>
          <w:p w14:paraId="225C110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.211</w:t>
            </w:r>
          </w:p>
        </w:tc>
        <w:tc>
          <w:tcPr>
            <w:tcW w:w="461" w:type="pct"/>
            <w:shd w:val="clear" w:color="auto" w:fill="FFFFFF"/>
            <w:vAlign w:val="center"/>
          </w:tcPr>
          <w:p w14:paraId="4106021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.993</w:t>
            </w:r>
          </w:p>
        </w:tc>
      </w:tr>
      <w:tr w:rsidR="0029675A" w:rsidRPr="002C438C" w14:paraId="69815D42" w14:textId="77777777" w:rsidTr="0029675A">
        <w:trPr>
          <w:cantSplit/>
          <w:trHeight w:val="20"/>
          <w:jc w:val="center"/>
        </w:trPr>
        <w:tc>
          <w:tcPr>
            <w:tcW w:w="533" w:type="pct"/>
            <w:vMerge/>
            <w:shd w:val="clear" w:color="auto" w:fill="FFFFFF"/>
            <w:vAlign w:val="center"/>
          </w:tcPr>
          <w:p w14:paraId="3E7D921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7259CDA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Structural Capital</w:t>
            </w:r>
          </w:p>
        </w:tc>
        <w:tc>
          <w:tcPr>
            <w:tcW w:w="385" w:type="pct"/>
            <w:shd w:val="clear" w:color="auto" w:fill="FFFFFF"/>
            <w:vAlign w:val="center"/>
          </w:tcPr>
          <w:p w14:paraId="7A34397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-.108</w:t>
            </w:r>
          </w:p>
        </w:tc>
        <w:tc>
          <w:tcPr>
            <w:tcW w:w="308" w:type="pct"/>
            <w:shd w:val="clear" w:color="auto" w:fill="FFFFFF"/>
            <w:vAlign w:val="center"/>
          </w:tcPr>
          <w:p w14:paraId="408D7F5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.055</w:t>
            </w:r>
          </w:p>
        </w:tc>
        <w:tc>
          <w:tcPr>
            <w:tcW w:w="270" w:type="pct"/>
            <w:shd w:val="clear" w:color="auto" w:fill="FFFFFF"/>
            <w:vAlign w:val="center"/>
          </w:tcPr>
          <w:p w14:paraId="0F5B293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.050</w:t>
            </w:r>
          </w:p>
        </w:tc>
        <w:tc>
          <w:tcPr>
            <w:tcW w:w="444" w:type="pct"/>
            <w:shd w:val="clear" w:color="auto" w:fill="FFFFFF"/>
            <w:vAlign w:val="center"/>
          </w:tcPr>
          <w:p w14:paraId="3748D91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.898</w:t>
            </w:r>
          </w:p>
        </w:tc>
        <w:tc>
          <w:tcPr>
            <w:tcW w:w="359" w:type="pct"/>
            <w:shd w:val="clear" w:color="auto" w:fill="FFFFFF"/>
            <w:vAlign w:val="center"/>
          </w:tcPr>
          <w:p w14:paraId="00BCB3A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w:t>
            </w:r>
          </w:p>
        </w:tc>
        <w:tc>
          <w:tcPr>
            <w:tcW w:w="388" w:type="pct"/>
            <w:shd w:val="clear" w:color="auto" w:fill="FFFFFF"/>
            <w:vAlign w:val="center"/>
          </w:tcPr>
          <w:p w14:paraId="6244C9E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.051</w:t>
            </w:r>
          </w:p>
        </w:tc>
        <w:tc>
          <w:tcPr>
            <w:tcW w:w="382" w:type="pct"/>
            <w:shd w:val="clear" w:color="auto" w:fill="FFFFFF"/>
            <w:vAlign w:val="center"/>
          </w:tcPr>
          <w:p w14:paraId="0402CAF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.049</w:t>
            </w:r>
          </w:p>
        </w:tc>
        <w:tc>
          <w:tcPr>
            <w:tcW w:w="461" w:type="pct"/>
            <w:shd w:val="clear" w:color="auto" w:fill="FFFFFF"/>
            <w:vAlign w:val="center"/>
          </w:tcPr>
          <w:p w14:paraId="7A31F49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.905</w:t>
            </w:r>
          </w:p>
        </w:tc>
      </w:tr>
      <w:tr w:rsidR="0029675A" w:rsidRPr="002C438C" w14:paraId="3B5C128C" w14:textId="77777777" w:rsidTr="0029675A">
        <w:trPr>
          <w:cantSplit/>
          <w:trHeight w:val="20"/>
          <w:jc w:val="center"/>
        </w:trPr>
        <w:tc>
          <w:tcPr>
            <w:tcW w:w="533" w:type="pct"/>
            <w:vMerge w:val="restart"/>
            <w:shd w:val="clear" w:color="auto" w:fill="FFFFFF"/>
            <w:textDirection w:val="btLr"/>
            <w:vAlign w:val="center"/>
          </w:tcPr>
          <w:p w14:paraId="22E3988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Developmental Restaurants</w:t>
            </w:r>
          </w:p>
        </w:tc>
        <w:tc>
          <w:tcPr>
            <w:tcW w:w="1470" w:type="pct"/>
            <w:shd w:val="clear" w:color="auto" w:fill="FFFFFF"/>
            <w:vAlign w:val="center"/>
          </w:tcPr>
          <w:p w14:paraId="105E331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Human Capital</w:t>
            </w:r>
          </w:p>
        </w:tc>
        <w:tc>
          <w:tcPr>
            <w:tcW w:w="385" w:type="pct"/>
            <w:shd w:val="clear" w:color="auto" w:fill="FFFFFF"/>
            <w:vAlign w:val="center"/>
          </w:tcPr>
          <w:p w14:paraId="08DA522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.001</w:t>
            </w:r>
          </w:p>
        </w:tc>
        <w:tc>
          <w:tcPr>
            <w:tcW w:w="308" w:type="pct"/>
            <w:shd w:val="clear" w:color="auto" w:fill="FFFFFF"/>
            <w:vAlign w:val="center"/>
          </w:tcPr>
          <w:p w14:paraId="3A8F158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.004</w:t>
            </w:r>
          </w:p>
        </w:tc>
        <w:tc>
          <w:tcPr>
            <w:tcW w:w="270" w:type="pct"/>
            <w:shd w:val="clear" w:color="auto" w:fill="FFFFFF"/>
            <w:vAlign w:val="center"/>
          </w:tcPr>
          <w:p w14:paraId="1E3A016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.977</w:t>
            </w:r>
          </w:p>
        </w:tc>
        <w:tc>
          <w:tcPr>
            <w:tcW w:w="444" w:type="pct"/>
            <w:shd w:val="clear" w:color="auto" w:fill="FFFFFF"/>
            <w:vAlign w:val="center"/>
          </w:tcPr>
          <w:p w14:paraId="3254EE6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1.001</w:t>
            </w:r>
          </w:p>
        </w:tc>
        <w:tc>
          <w:tcPr>
            <w:tcW w:w="359" w:type="pct"/>
            <w:shd w:val="clear" w:color="auto" w:fill="FFFFFF"/>
            <w:vAlign w:val="center"/>
          </w:tcPr>
          <w:p w14:paraId="7F4B271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8" w:type="pct"/>
            <w:shd w:val="clear" w:color="auto" w:fill="FFFFFF"/>
            <w:vAlign w:val="center"/>
          </w:tcPr>
          <w:p w14:paraId="0128256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2" w:type="pct"/>
            <w:shd w:val="clear" w:color="auto" w:fill="FFFFFF"/>
            <w:vAlign w:val="center"/>
          </w:tcPr>
          <w:p w14:paraId="7C2FBE2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.803</w:t>
            </w:r>
          </w:p>
        </w:tc>
        <w:tc>
          <w:tcPr>
            <w:tcW w:w="461" w:type="pct"/>
            <w:shd w:val="clear" w:color="auto" w:fill="FFFFFF"/>
            <w:vAlign w:val="center"/>
          </w:tcPr>
          <w:p w14:paraId="4E9EC0E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1.000</w:t>
            </w:r>
          </w:p>
        </w:tc>
      </w:tr>
      <w:tr w:rsidR="0029675A" w:rsidRPr="002C438C" w14:paraId="38F1B1E0" w14:textId="77777777" w:rsidTr="0029675A">
        <w:trPr>
          <w:cantSplit/>
          <w:trHeight w:val="20"/>
          <w:jc w:val="center"/>
        </w:trPr>
        <w:tc>
          <w:tcPr>
            <w:tcW w:w="533" w:type="pct"/>
            <w:vMerge/>
            <w:shd w:val="clear" w:color="auto" w:fill="FFFFFF"/>
            <w:vAlign w:val="center"/>
          </w:tcPr>
          <w:p w14:paraId="5640658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7F835EE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Relational Capital</w:t>
            </w:r>
          </w:p>
        </w:tc>
        <w:tc>
          <w:tcPr>
            <w:tcW w:w="385" w:type="pct"/>
            <w:shd w:val="clear" w:color="auto" w:fill="FFFFFF"/>
            <w:vAlign w:val="center"/>
          </w:tcPr>
          <w:p w14:paraId="6DDDB27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.621</w:t>
            </w:r>
          </w:p>
        </w:tc>
        <w:tc>
          <w:tcPr>
            <w:tcW w:w="308" w:type="pct"/>
            <w:shd w:val="clear" w:color="auto" w:fill="FFFFFF"/>
            <w:vAlign w:val="center"/>
          </w:tcPr>
          <w:p w14:paraId="6D146F8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.195</w:t>
            </w:r>
          </w:p>
        </w:tc>
        <w:tc>
          <w:tcPr>
            <w:tcW w:w="270" w:type="pct"/>
            <w:shd w:val="clear" w:color="auto" w:fill="FFFFFF"/>
            <w:vAlign w:val="center"/>
          </w:tcPr>
          <w:p w14:paraId="4408327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.035</w:t>
            </w:r>
          </w:p>
        </w:tc>
        <w:tc>
          <w:tcPr>
            <w:tcW w:w="444" w:type="pct"/>
            <w:shd w:val="clear" w:color="auto" w:fill="FFFFFF"/>
            <w:vAlign w:val="center"/>
          </w:tcPr>
          <w:p w14:paraId="0985BD2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1.861</w:t>
            </w:r>
          </w:p>
        </w:tc>
        <w:tc>
          <w:tcPr>
            <w:tcW w:w="359" w:type="pct"/>
            <w:shd w:val="clear" w:color="auto" w:fill="FFFFFF"/>
            <w:vAlign w:val="center"/>
          </w:tcPr>
          <w:p w14:paraId="6AB64F8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.583</w:t>
            </w:r>
          </w:p>
        </w:tc>
        <w:tc>
          <w:tcPr>
            <w:tcW w:w="388" w:type="pct"/>
            <w:shd w:val="clear" w:color="auto" w:fill="FFFFFF"/>
            <w:vAlign w:val="center"/>
          </w:tcPr>
          <w:p w14:paraId="6F16612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.272</w:t>
            </w:r>
          </w:p>
        </w:tc>
        <w:tc>
          <w:tcPr>
            <w:tcW w:w="382" w:type="pct"/>
            <w:shd w:val="clear" w:color="auto" w:fill="FFFFFF"/>
            <w:vAlign w:val="center"/>
          </w:tcPr>
          <w:p w14:paraId="489B322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.032</w:t>
            </w:r>
          </w:p>
        </w:tc>
        <w:tc>
          <w:tcPr>
            <w:tcW w:w="461" w:type="pct"/>
            <w:shd w:val="clear" w:color="auto" w:fill="FFFFFF"/>
            <w:vAlign w:val="center"/>
          </w:tcPr>
          <w:p w14:paraId="04E0A39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1.792</w:t>
            </w:r>
          </w:p>
        </w:tc>
      </w:tr>
      <w:tr w:rsidR="0029675A" w:rsidRPr="002C438C" w14:paraId="49415FD1" w14:textId="77777777" w:rsidTr="0029675A">
        <w:trPr>
          <w:cantSplit/>
          <w:trHeight w:val="20"/>
          <w:jc w:val="center"/>
        </w:trPr>
        <w:tc>
          <w:tcPr>
            <w:tcW w:w="533" w:type="pct"/>
            <w:vMerge/>
            <w:shd w:val="clear" w:color="auto" w:fill="FFFFFF"/>
            <w:vAlign w:val="center"/>
          </w:tcPr>
          <w:p w14:paraId="2B41B12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1236B3D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Structural Capital</w:t>
            </w:r>
          </w:p>
        </w:tc>
        <w:tc>
          <w:tcPr>
            <w:tcW w:w="385" w:type="pct"/>
            <w:shd w:val="clear" w:color="auto" w:fill="FFFFFF"/>
            <w:vAlign w:val="center"/>
          </w:tcPr>
          <w:p w14:paraId="579CE95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.004</w:t>
            </w:r>
          </w:p>
        </w:tc>
        <w:tc>
          <w:tcPr>
            <w:tcW w:w="308" w:type="pct"/>
            <w:shd w:val="clear" w:color="auto" w:fill="FFFFFF"/>
            <w:vAlign w:val="center"/>
          </w:tcPr>
          <w:p w14:paraId="39B0599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.002</w:t>
            </w:r>
          </w:p>
        </w:tc>
        <w:tc>
          <w:tcPr>
            <w:tcW w:w="270" w:type="pct"/>
            <w:shd w:val="clear" w:color="auto" w:fill="FFFFFF"/>
            <w:vAlign w:val="center"/>
          </w:tcPr>
          <w:p w14:paraId="3D6ABFE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.071</w:t>
            </w:r>
          </w:p>
        </w:tc>
        <w:tc>
          <w:tcPr>
            <w:tcW w:w="444" w:type="pct"/>
            <w:shd w:val="clear" w:color="auto" w:fill="FFFFFF"/>
            <w:vAlign w:val="center"/>
          </w:tcPr>
          <w:p w14:paraId="435152B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1.004</w:t>
            </w:r>
          </w:p>
        </w:tc>
        <w:tc>
          <w:tcPr>
            <w:tcW w:w="359" w:type="pct"/>
            <w:shd w:val="clear" w:color="auto" w:fill="FFFFFF"/>
            <w:vAlign w:val="center"/>
          </w:tcPr>
          <w:p w14:paraId="21DF271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8" w:type="pct"/>
            <w:shd w:val="clear" w:color="auto" w:fill="FFFFFF"/>
            <w:vAlign w:val="center"/>
          </w:tcPr>
          <w:p w14:paraId="08EBC42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2" w:type="pct"/>
            <w:shd w:val="clear" w:color="auto" w:fill="FFFFFF"/>
            <w:vAlign w:val="center"/>
          </w:tcPr>
          <w:p w14:paraId="57D0A60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.056</w:t>
            </w:r>
          </w:p>
        </w:tc>
        <w:tc>
          <w:tcPr>
            <w:tcW w:w="461" w:type="pct"/>
            <w:shd w:val="clear" w:color="auto" w:fill="FFFFFF"/>
            <w:vAlign w:val="center"/>
          </w:tcPr>
          <w:p w14:paraId="7A7DDAD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r>
      <w:tr w:rsidR="0029675A" w:rsidRPr="002C438C" w14:paraId="16440CDD" w14:textId="77777777" w:rsidTr="0029675A">
        <w:trPr>
          <w:cantSplit/>
          <w:trHeight w:val="20"/>
          <w:jc w:val="center"/>
        </w:trPr>
        <w:tc>
          <w:tcPr>
            <w:tcW w:w="533" w:type="pct"/>
            <w:vMerge/>
            <w:shd w:val="clear" w:color="auto" w:fill="FFFFFF"/>
            <w:vAlign w:val="center"/>
          </w:tcPr>
          <w:p w14:paraId="6C05BC8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331F4F1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Human Capital</w:t>
            </w:r>
          </w:p>
        </w:tc>
        <w:tc>
          <w:tcPr>
            <w:tcW w:w="385" w:type="pct"/>
            <w:shd w:val="clear" w:color="auto" w:fill="FFFFFF"/>
            <w:vAlign w:val="center"/>
          </w:tcPr>
          <w:p w14:paraId="532994C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.521</w:t>
            </w:r>
          </w:p>
        </w:tc>
        <w:tc>
          <w:tcPr>
            <w:tcW w:w="308" w:type="pct"/>
            <w:shd w:val="clear" w:color="auto" w:fill="FFFFFF"/>
            <w:vAlign w:val="center"/>
          </w:tcPr>
          <w:p w14:paraId="7D3E2A7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.262</w:t>
            </w:r>
          </w:p>
        </w:tc>
        <w:tc>
          <w:tcPr>
            <w:tcW w:w="270" w:type="pct"/>
            <w:shd w:val="clear" w:color="auto" w:fill="FFFFFF"/>
            <w:vAlign w:val="center"/>
          </w:tcPr>
          <w:p w14:paraId="54F0786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.047</w:t>
            </w:r>
          </w:p>
        </w:tc>
        <w:tc>
          <w:tcPr>
            <w:tcW w:w="444" w:type="pct"/>
            <w:shd w:val="clear" w:color="auto" w:fill="FFFFFF"/>
            <w:vAlign w:val="center"/>
          </w:tcPr>
          <w:p w14:paraId="284767B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1.684</w:t>
            </w:r>
          </w:p>
        </w:tc>
        <w:tc>
          <w:tcPr>
            <w:tcW w:w="359" w:type="pct"/>
            <w:shd w:val="clear" w:color="auto" w:fill="FFFFFF"/>
            <w:vAlign w:val="center"/>
          </w:tcPr>
          <w:p w14:paraId="5663046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.489</w:t>
            </w:r>
          </w:p>
        </w:tc>
        <w:tc>
          <w:tcPr>
            <w:tcW w:w="388" w:type="pct"/>
            <w:shd w:val="clear" w:color="auto" w:fill="FFFFFF"/>
            <w:vAlign w:val="center"/>
          </w:tcPr>
          <w:p w14:paraId="2FAD390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.241</w:t>
            </w:r>
          </w:p>
        </w:tc>
        <w:tc>
          <w:tcPr>
            <w:tcW w:w="382" w:type="pct"/>
            <w:shd w:val="clear" w:color="auto" w:fill="FFFFFF"/>
            <w:vAlign w:val="center"/>
          </w:tcPr>
          <w:p w14:paraId="2372090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.042</w:t>
            </w:r>
          </w:p>
        </w:tc>
        <w:tc>
          <w:tcPr>
            <w:tcW w:w="461" w:type="pct"/>
            <w:shd w:val="clear" w:color="auto" w:fill="FFFFFF"/>
            <w:vAlign w:val="center"/>
          </w:tcPr>
          <w:p w14:paraId="68D0331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1.631</w:t>
            </w:r>
          </w:p>
        </w:tc>
      </w:tr>
      <w:tr w:rsidR="0029675A" w:rsidRPr="002C438C" w14:paraId="5EC10DB0" w14:textId="77777777" w:rsidTr="0029675A">
        <w:trPr>
          <w:cantSplit/>
          <w:trHeight w:val="20"/>
          <w:jc w:val="center"/>
        </w:trPr>
        <w:tc>
          <w:tcPr>
            <w:tcW w:w="533" w:type="pct"/>
            <w:vMerge/>
            <w:shd w:val="clear" w:color="auto" w:fill="FFFFFF"/>
            <w:vAlign w:val="center"/>
          </w:tcPr>
          <w:p w14:paraId="4BAE2D2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7407648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Relational Capital</w:t>
            </w:r>
          </w:p>
        </w:tc>
        <w:tc>
          <w:tcPr>
            <w:tcW w:w="385" w:type="pct"/>
            <w:shd w:val="clear" w:color="auto" w:fill="FFFFFF"/>
            <w:vAlign w:val="center"/>
          </w:tcPr>
          <w:p w14:paraId="5AA922D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-.216</w:t>
            </w:r>
          </w:p>
        </w:tc>
        <w:tc>
          <w:tcPr>
            <w:tcW w:w="308" w:type="pct"/>
            <w:shd w:val="clear" w:color="auto" w:fill="FFFFFF"/>
            <w:vAlign w:val="center"/>
          </w:tcPr>
          <w:p w14:paraId="25AAF6D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.258</w:t>
            </w:r>
          </w:p>
        </w:tc>
        <w:tc>
          <w:tcPr>
            <w:tcW w:w="270" w:type="pct"/>
            <w:shd w:val="clear" w:color="auto" w:fill="FFFFFF"/>
            <w:vAlign w:val="center"/>
          </w:tcPr>
          <w:p w14:paraId="2ACD44D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.402</w:t>
            </w:r>
          </w:p>
        </w:tc>
        <w:tc>
          <w:tcPr>
            <w:tcW w:w="444" w:type="pct"/>
            <w:shd w:val="clear" w:color="auto" w:fill="FFFFFF"/>
            <w:vAlign w:val="center"/>
          </w:tcPr>
          <w:p w14:paraId="1FD5D92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.806</w:t>
            </w:r>
          </w:p>
        </w:tc>
        <w:tc>
          <w:tcPr>
            <w:tcW w:w="359" w:type="pct"/>
            <w:shd w:val="clear" w:color="auto" w:fill="FFFFFF"/>
            <w:vAlign w:val="center"/>
          </w:tcPr>
          <w:p w14:paraId="69F93F4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-.246</w:t>
            </w:r>
          </w:p>
        </w:tc>
        <w:tc>
          <w:tcPr>
            <w:tcW w:w="388" w:type="pct"/>
            <w:shd w:val="clear" w:color="auto" w:fill="FFFFFF"/>
            <w:vAlign w:val="center"/>
          </w:tcPr>
          <w:p w14:paraId="19FC8B6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.219</w:t>
            </w:r>
          </w:p>
        </w:tc>
        <w:tc>
          <w:tcPr>
            <w:tcW w:w="382" w:type="pct"/>
            <w:shd w:val="clear" w:color="auto" w:fill="FFFFFF"/>
            <w:vAlign w:val="center"/>
          </w:tcPr>
          <w:p w14:paraId="087C289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.262</w:t>
            </w:r>
          </w:p>
        </w:tc>
        <w:tc>
          <w:tcPr>
            <w:tcW w:w="461" w:type="pct"/>
            <w:shd w:val="clear" w:color="auto" w:fill="FFFFFF"/>
            <w:vAlign w:val="center"/>
          </w:tcPr>
          <w:p w14:paraId="1E2DD13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.782</w:t>
            </w:r>
          </w:p>
        </w:tc>
      </w:tr>
      <w:tr w:rsidR="0029675A" w:rsidRPr="002C438C" w14:paraId="0DE45A15" w14:textId="77777777" w:rsidTr="0029675A">
        <w:trPr>
          <w:cantSplit/>
          <w:trHeight w:val="20"/>
          <w:jc w:val="center"/>
        </w:trPr>
        <w:tc>
          <w:tcPr>
            <w:tcW w:w="533" w:type="pct"/>
            <w:vMerge/>
            <w:shd w:val="clear" w:color="auto" w:fill="FFFFFF"/>
            <w:vAlign w:val="center"/>
          </w:tcPr>
          <w:p w14:paraId="2F3714C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6F25934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Structural Capital</w:t>
            </w:r>
          </w:p>
        </w:tc>
        <w:tc>
          <w:tcPr>
            <w:tcW w:w="385" w:type="pct"/>
            <w:shd w:val="clear" w:color="auto" w:fill="FFFFFF"/>
            <w:vAlign w:val="center"/>
          </w:tcPr>
          <w:p w14:paraId="0F8EE07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-.002</w:t>
            </w:r>
          </w:p>
        </w:tc>
        <w:tc>
          <w:tcPr>
            <w:tcW w:w="308" w:type="pct"/>
            <w:shd w:val="clear" w:color="auto" w:fill="FFFFFF"/>
            <w:vAlign w:val="center"/>
          </w:tcPr>
          <w:p w14:paraId="7746AD9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.003</w:t>
            </w:r>
          </w:p>
        </w:tc>
        <w:tc>
          <w:tcPr>
            <w:tcW w:w="270" w:type="pct"/>
            <w:shd w:val="clear" w:color="auto" w:fill="FFFFFF"/>
            <w:vAlign w:val="center"/>
          </w:tcPr>
          <w:p w14:paraId="6D7F658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.005</w:t>
            </w:r>
          </w:p>
        </w:tc>
        <w:tc>
          <w:tcPr>
            <w:tcW w:w="444" w:type="pct"/>
            <w:shd w:val="clear" w:color="auto" w:fill="FFFFFF"/>
            <w:vAlign w:val="center"/>
          </w:tcPr>
          <w:p w14:paraId="4B67ECC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.998</w:t>
            </w:r>
          </w:p>
        </w:tc>
        <w:tc>
          <w:tcPr>
            <w:tcW w:w="359" w:type="pct"/>
            <w:shd w:val="clear" w:color="auto" w:fill="FFFFFF"/>
            <w:vAlign w:val="center"/>
          </w:tcPr>
          <w:p w14:paraId="6CF443D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388" w:type="pct"/>
            <w:shd w:val="clear" w:color="auto" w:fill="FFFFFF"/>
            <w:vAlign w:val="center"/>
          </w:tcPr>
          <w:p w14:paraId="71DAB6D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2" w:type="pct"/>
            <w:shd w:val="clear" w:color="auto" w:fill="FFFFFF"/>
            <w:vAlign w:val="center"/>
          </w:tcPr>
          <w:p w14:paraId="6EA5312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1" w:type="pct"/>
            <w:shd w:val="clear" w:color="auto" w:fill="FFFFFF"/>
            <w:vAlign w:val="center"/>
          </w:tcPr>
          <w:p w14:paraId="525B269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.996</w:t>
            </w:r>
          </w:p>
        </w:tc>
      </w:tr>
      <w:tr w:rsidR="0029675A" w:rsidRPr="002C438C" w14:paraId="5FAFA27F" w14:textId="77777777" w:rsidTr="0029675A">
        <w:trPr>
          <w:cantSplit/>
          <w:trHeight w:val="20"/>
          <w:jc w:val="center"/>
        </w:trPr>
        <w:tc>
          <w:tcPr>
            <w:tcW w:w="533" w:type="pct"/>
            <w:vMerge w:val="restart"/>
            <w:shd w:val="clear" w:color="auto" w:fill="FFFFFF"/>
            <w:textDirection w:val="btLr"/>
            <w:vAlign w:val="center"/>
          </w:tcPr>
          <w:p w14:paraId="0C60885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Mature Restaurants</w:t>
            </w:r>
          </w:p>
        </w:tc>
        <w:tc>
          <w:tcPr>
            <w:tcW w:w="1470" w:type="pct"/>
            <w:shd w:val="clear" w:color="auto" w:fill="FFFFFF"/>
            <w:vAlign w:val="center"/>
          </w:tcPr>
          <w:p w14:paraId="6E5B014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Human Capital</w:t>
            </w:r>
          </w:p>
        </w:tc>
        <w:tc>
          <w:tcPr>
            <w:tcW w:w="385" w:type="pct"/>
            <w:shd w:val="clear" w:color="auto" w:fill="FFFFFF"/>
            <w:vAlign w:val="center"/>
          </w:tcPr>
          <w:p w14:paraId="344C661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-.001</w:t>
            </w:r>
          </w:p>
        </w:tc>
        <w:tc>
          <w:tcPr>
            <w:tcW w:w="308" w:type="pct"/>
            <w:shd w:val="clear" w:color="auto" w:fill="FFFFFF"/>
            <w:vAlign w:val="center"/>
          </w:tcPr>
          <w:p w14:paraId="71F6739F"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.000</w:t>
            </w:r>
          </w:p>
        </w:tc>
        <w:tc>
          <w:tcPr>
            <w:tcW w:w="270" w:type="pct"/>
            <w:shd w:val="clear" w:color="auto" w:fill="FFFFFF"/>
            <w:vAlign w:val="center"/>
          </w:tcPr>
          <w:p w14:paraId="16BE9C17"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.003</w:t>
            </w:r>
          </w:p>
        </w:tc>
        <w:tc>
          <w:tcPr>
            <w:tcW w:w="444" w:type="pct"/>
            <w:shd w:val="clear" w:color="auto" w:fill="FFFFFF"/>
            <w:vAlign w:val="center"/>
          </w:tcPr>
          <w:p w14:paraId="2976E59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.999</w:t>
            </w:r>
          </w:p>
        </w:tc>
        <w:tc>
          <w:tcPr>
            <w:tcW w:w="359" w:type="pct"/>
            <w:shd w:val="clear" w:color="auto" w:fill="FFFFFF"/>
            <w:vAlign w:val="center"/>
          </w:tcPr>
          <w:p w14:paraId="515387E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8" w:type="pct"/>
            <w:shd w:val="clear" w:color="auto" w:fill="FFFFFF"/>
            <w:vAlign w:val="center"/>
          </w:tcPr>
          <w:p w14:paraId="0C91C14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2" w:type="pct"/>
            <w:shd w:val="clear" w:color="auto" w:fill="FFFFFF"/>
            <w:vAlign w:val="center"/>
          </w:tcPr>
          <w:p w14:paraId="4EAF724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1" w:type="pct"/>
            <w:shd w:val="clear" w:color="auto" w:fill="FFFFFF"/>
            <w:vAlign w:val="center"/>
          </w:tcPr>
          <w:p w14:paraId="3BC06A0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.999</w:t>
            </w:r>
          </w:p>
        </w:tc>
      </w:tr>
      <w:tr w:rsidR="0029675A" w:rsidRPr="002C438C" w14:paraId="7B8EE89B" w14:textId="77777777" w:rsidTr="0029675A">
        <w:trPr>
          <w:cantSplit/>
          <w:trHeight w:val="20"/>
          <w:jc w:val="center"/>
        </w:trPr>
        <w:tc>
          <w:tcPr>
            <w:tcW w:w="533" w:type="pct"/>
            <w:vMerge/>
            <w:shd w:val="clear" w:color="auto" w:fill="FFFFFF"/>
            <w:vAlign w:val="center"/>
          </w:tcPr>
          <w:p w14:paraId="6FF9BED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5B1A729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Relational Capital</w:t>
            </w:r>
          </w:p>
        </w:tc>
        <w:tc>
          <w:tcPr>
            <w:tcW w:w="385" w:type="pct"/>
            <w:shd w:val="clear" w:color="auto" w:fill="FFFFFF"/>
            <w:vAlign w:val="center"/>
          </w:tcPr>
          <w:p w14:paraId="20AA6E0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.005</w:t>
            </w:r>
          </w:p>
        </w:tc>
        <w:tc>
          <w:tcPr>
            <w:tcW w:w="308" w:type="pct"/>
            <w:shd w:val="clear" w:color="auto" w:fill="FFFFFF"/>
            <w:vAlign w:val="center"/>
          </w:tcPr>
          <w:p w14:paraId="454B1F3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.004</w:t>
            </w:r>
          </w:p>
        </w:tc>
        <w:tc>
          <w:tcPr>
            <w:tcW w:w="270" w:type="pct"/>
            <w:shd w:val="clear" w:color="auto" w:fill="FFFFFF"/>
            <w:vAlign w:val="center"/>
          </w:tcPr>
          <w:p w14:paraId="6DF853D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.000</w:t>
            </w:r>
          </w:p>
        </w:tc>
        <w:tc>
          <w:tcPr>
            <w:tcW w:w="444" w:type="pct"/>
            <w:shd w:val="clear" w:color="auto" w:fill="FFFFFF"/>
            <w:vAlign w:val="center"/>
          </w:tcPr>
          <w:p w14:paraId="6AB481E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1.005</w:t>
            </w:r>
          </w:p>
        </w:tc>
        <w:tc>
          <w:tcPr>
            <w:tcW w:w="359" w:type="pct"/>
            <w:shd w:val="clear" w:color="auto" w:fill="FFFFFF"/>
            <w:vAlign w:val="center"/>
          </w:tcPr>
          <w:p w14:paraId="29E8098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.003</w:t>
            </w:r>
          </w:p>
        </w:tc>
        <w:tc>
          <w:tcPr>
            <w:tcW w:w="388" w:type="pct"/>
            <w:shd w:val="clear" w:color="auto" w:fill="FFFFFF"/>
            <w:vAlign w:val="center"/>
          </w:tcPr>
          <w:p w14:paraId="45C269F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2" w:type="pct"/>
            <w:shd w:val="clear" w:color="auto" w:fill="FFFFFF"/>
            <w:vAlign w:val="center"/>
          </w:tcPr>
          <w:p w14:paraId="4E6908F8"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461" w:type="pct"/>
            <w:shd w:val="clear" w:color="auto" w:fill="FFFFFF"/>
            <w:vAlign w:val="center"/>
          </w:tcPr>
          <w:p w14:paraId="2E89E7D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1.003</w:t>
            </w:r>
          </w:p>
        </w:tc>
      </w:tr>
      <w:tr w:rsidR="0029675A" w:rsidRPr="002C438C" w14:paraId="5D66B109" w14:textId="77777777" w:rsidTr="0029675A">
        <w:trPr>
          <w:cantSplit/>
          <w:trHeight w:val="20"/>
          <w:jc w:val="center"/>
        </w:trPr>
        <w:tc>
          <w:tcPr>
            <w:tcW w:w="533" w:type="pct"/>
            <w:vMerge/>
            <w:shd w:val="clear" w:color="auto" w:fill="FFFFFF"/>
            <w:vAlign w:val="center"/>
          </w:tcPr>
          <w:p w14:paraId="347E7E8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73C9544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Structural Capital</w:t>
            </w:r>
          </w:p>
        </w:tc>
        <w:tc>
          <w:tcPr>
            <w:tcW w:w="385" w:type="pct"/>
            <w:shd w:val="clear" w:color="auto" w:fill="FFFFFF"/>
            <w:vAlign w:val="center"/>
          </w:tcPr>
          <w:p w14:paraId="0DB2904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.003</w:t>
            </w:r>
          </w:p>
        </w:tc>
        <w:tc>
          <w:tcPr>
            <w:tcW w:w="308" w:type="pct"/>
            <w:shd w:val="clear" w:color="auto" w:fill="FFFFFF"/>
            <w:vAlign w:val="center"/>
          </w:tcPr>
          <w:p w14:paraId="1655595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.000</w:t>
            </w:r>
          </w:p>
        </w:tc>
        <w:tc>
          <w:tcPr>
            <w:tcW w:w="270" w:type="pct"/>
            <w:shd w:val="clear" w:color="auto" w:fill="FFFFFF"/>
            <w:vAlign w:val="center"/>
          </w:tcPr>
          <w:p w14:paraId="63515A3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.001</w:t>
            </w:r>
          </w:p>
        </w:tc>
        <w:tc>
          <w:tcPr>
            <w:tcW w:w="444" w:type="pct"/>
            <w:shd w:val="clear" w:color="auto" w:fill="FFFFFF"/>
            <w:vAlign w:val="center"/>
          </w:tcPr>
          <w:p w14:paraId="42FFA4C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1.003</w:t>
            </w:r>
          </w:p>
        </w:tc>
        <w:tc>
          <w:tcPr>
            <w:tcW w:w="359" w:type="pct"/>
            <w:shd w:val="clear" w:color="auto" w:fill="FFFFFF"/>
            <w:vAlign w:val="center"/>
          </w:tcPr>
          <w:p w14:paraId="6460951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.005</w:t>
            </w:r>
          </w:p>
        </w:tc>
        <w:tc>
          <w:tcPr>
            <w:tcW w:w="388" w:type="pct"/>
            <w:shd w:val="clear" w:color="auto" w:fill="FFFFFF"/>
            <w:vAlign w:val="center"/>
          </w:tcPr>
          <w:p w14:paraId="6843B14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2" w:type="pct"/>
            <w:shd w:val="clear" w:color="auto" w:fill="FFFFFF"/>
            <w:vAlign w:val="center"/>
          </w:tcPr>
          <w:p w14:paraId="07F4AD3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1" w:type="pct"/>
            <w:shd w:val="clear" w:color="auto" w:fill="FFFFFF"/>
            <w:vAlign w:val="center"/>
          </w:tcPr>
          <w:p w14:paraId="50A4CD5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1.005</w:t>
            </w:r>
          </w:p>
        </w:tc>
      </w:tr>
      <w:tr w:rsidR="0029675A" w:rsidRPr="002C438C" w14:paraId="72C844E4" w14:textId="77777777" w:rsidTr="0029675A">
        <w:trPr>
          <w:cantSplit/>
          <w:trHeight w:val="20"/>
          <w:jc w:val="center"/>
        </w:trPr>
        <w:tc>
          <w:tcPr>
            <w:tcW w:w="533" w:type="pct"/>
            <w:vMerge/>
            <w:shd w:val="clear" w:color="auto" w:fill="FFFFFF"/>
            <w:vAlign w:val="center"/>
          </w:tcPr>
          <w:p w14:paraId="47A2A11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450A4AF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Human Capital</w:t>
            </w:r>
          </w:p>
        </w:tc>
        <w:tc>
          <w:tcPr>
            <w:tcW w:w="385" w:type="pct"/>
            <w:shd w:val="clear" w:color="auto" w:fill="FFFFFF"/>
            <w:vAlign w:val="center"/>
          </w:tcPr>
          <w:p w14:paraId="36E9CEC0"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.003</w:t>
            </w:r>
          </w:p>
        </w:tc>
        <w:tc>
          <w:tcPr>
            <w:tcW w:w="308" w:type="pct"/>
            <w:shd w:val="clear" w:color="auto" w:fill="FFFFFF"/>
            <w:vAlign w:val="center"/>
          </w:tcPr>
          <w:p w14:paraId="42AD755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.003</w:t>
            </w:r>
          </w:p>
        </w:tc>
        <w:tc>
          <w:tcPr>
            <w:tcW w:w="270" w:type="pct"/>
            <w:shd w:val="clear" w:color="auto" w:fill="FFFFFF"/>
            <w:vAlign w:val="center"/>
          </w:tcPr>
          <w:p w14:paraId="137C53E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.001</w:t>
            </w:r>
          </w:p>
        </w:tc>
        <w:tc>
          <w:tcPr>
            <w:tcW w:w="444" w:type="pct"/>
            <w:shd w:val="clear" w:color="auto" w:fill="FFFFFF"/>
            <w:vAlign w:val="center"/>
          </w:tcPr>
          <w:p w14:paraId="23AC1DC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1.003</w:t>
            </w:r>
          </w:p>
        </w:tc>
        <w:tc>
          <w:tcPr>
            <w:tcW w:w="359" w:type="pct"/>
            <w:shd w:val="clear" w:color="auto" w:fill="FFFFFF"/>
            <w:vAlign w:val="center"/>
          </w:tcPr>
          <w:p w14:paraId="1CFE8EF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8" w:type="pct"/>
            <w:shd w:val="clear" w:color="auto" w:fill="FFFFFF"/>
            <w:vAlign w:val="center"/>
          </w:tcPr>
          <w:p w14:paraId="6CBE89D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2" w:type="pct"/>
            <w:shd w:val="clear" w:color="auto" w:fill="FFFFFF"/>
            <w:vAlign w:val="center"/>
          </w:tcPr>
          <w:p w14:paraId="64BBED1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1" w:type="pct"/>
            <w:shd w:val="clear" w:color="auto" w:fill="FFFFFF"/>
            <w:vAlign w:val="center"/>
          </w:tcPr>
          <w:p w14:paraId="1882F39B"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r>
      <w:tr w:rsidR="0029675A" w:rsidRPr="002C438C" w14:paraId="490210FB" w14:textId="77777777" w:rsidTr="0029675A">
        <w:trPr>
          <w:cantSplit/>
          <w:trHeight w:val="20"/>
          <w:jc w:val="center"/>
        </w:trPr>
        <w:tc>
          <w:tcPr>
            <w:tcW w:w="533" w:type="pct"/>
            <w:vMerge/>
            <w:shd w:val="clear" w:color="auto" w:fill="FFFFFF"/>
            <w:vAlign w:val="center"/>
          </w:tcPr>
          <w:p w14:paraId="0807D8E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30185242"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Relational Capital</w:t>
            </w:r>
          </w:p>
        </w:tc>
        <w:tc>
          <w:tcPr>
            <w:tcW w:w="385" w:type="pct"/>
            <w:shd w:val="clear" w:color="auto" w:fill="FFFFFF"/>
            <w:vAlign w:val="center"/>
          </w:tcPr>
          <w:p w14:paraId="301886F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.007</w:t>
            </w:r>
          </w:p>
        </w:tc>
        <w:tc>
          <w:tcPr>
            <w:tcW w:w="308" w:type="pct"/>
            <w:shd w:val="clear" w:color="auto" w:fill="FFFFFF"/>
            <w:vAlign w:val="center"/>
          </w:tcPr>
          <w:p w14:paraId="37FF900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.003</w:t>
            </w:r>
          </w:p>
        </w:tc>
        <w:tc>
          <w:tcPr>
            <w:tcW w:w="270" w:type="pct"/>
            <w:shd w:val="clear" w:color="auto" w:fill="FFFFFF"/>
            <w:vAlign w:val="center"/>
          </w:tcPr>
          <w:p w14:paraId="6244F02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.313</w:t>
            </w:r>
          </w:p>
        </w:tc>
        <w:tc>
          <w:tcPr>
            <w:tcW w:w="444" w:type="pct"/>
            <w:shd w:val="clear" w:color="auto" w:fill="FFFFFF"/>
            <w:vAlign w:val="center"/>
          </w:tcPr>
          <w:p w14:paraId="09BEB87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1.007</w:t>
            </w:r>
          </w:p>
        </w:tc>
        <w:tc>
          <w:tcPr>
            <w:tcW w:w="359" w:type="pct"/>
            <w:shd w:val="clear" w:color="auto" w:fill="FFFFFF"/>
            <w:vAlign w:val="center"/>
          </w:tcPr>
          <w:p w14:paraId="74B70644"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388" w:type="pct"/>
            <w:shd w:val="clear" w:color="auto" w:fill="FFFFFF"/>
            <w:vAlign w:val="center"/>
          </w:tcPr>
          <w:p w14:paraId="2C784D86"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.004</w:t>
            </w:r>
          </w:p>
        </w:tc>
        <w:tc>
          <w:tcPr>
            <w:tcW w:w="382" w:type="pct"/>
            <w:shd w:val="clear" w:color="auto" w:fill="FFFFFF"/>
            <w:vAlign w:val="center"/>
          </w:tcPr>
          <w:p w14:paraId="1E42DA0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.284</w:t>
            </w:r>
          </w:p>
        </w:tc>
        <w:tc>
          <w:tcPr>
            <w:tcW w:w="461" w:type="pct"/>
            <w:shd w:val="clear" w:color="auto" w:fill="FFFFFF"/>
            <w:vAlign w:val="center"/>
          </w:tcPr>
          <w:p w14:paraId="05B34245"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1.004</w:t>
            </w:r>
          </w:p>
        </w:tc>
      </w:tr>
      <w:tr w:rsidR="002C438C" w:rsidRPr="002C438C" w14:paraId="6D823CE7" w14:textId="77777777" w:rsidTr="0029675A">
        <w:trPr>
          <w:cantSplit/>
          <w:trHeight w:val="20"/>
          <w:jc w:val="center"/>
        </w:trPr>
        <w:tc>
          <w:tcPr>
            <w:tcW w:w="533" w:type="pct"/>
            <w:vMerge/>
            <w:shd w:val="clear" w:color="auto" w:fill="FFFFFF"/>
            <w:vAlign w:val="center"/>
          </w:tcPr>
          <w:p w14:paraId="6F5244B3"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p>
        </w:tc>
        <w:tc>
          <w:tcPr>
            <w:tcW w:w="1470" w:type="pct"/>
            <w:shd w:val="clear" w:color="auto" w:fill="FFFFFF"/>
            <w:vAlign w:val="center"/>
          </w:tcPr>
          <w:p w14:paraId="422266DC"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Industry 4.0 * Structural Capital</w:t>
            </w:r>
          </w:p>
        </w:tc>
        <w:tc>
          <w:tcPr>
            <w:tcW w:w="385" w:type="pct"/>
            <w:shd w:val="clear" w:color="auto" w:fill="FFFFFF"/>
            <w:vAlign w:val="center"/>
          </w:tcPr>
          <w:p w14:paraId="3CD0EC0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.001</w:t>
            </w:r>
          </w:p>
        </w:tc>
        <w:tc>
          <w:tcPr>
            <w:tcW w:w="308" w:type="pct"/>
            <w:shd w:val="clear" w:color="auto" w:fill="FFFFFF"/>
            <w:vAlign w:val="center"/>
          </w:tcPr>
          <w:p w14:paraId="35FC784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.000</w:t>
            </w:r>
          </w:p>
        </w:tc>
        <w:tc>
          <w:tcPr>
            <w:tcW w:w="270" w:type="pct"/>
            <w:shd w:val="clear" w:color="auto" w:fill="FFFFFF"/>
            <w:vAlign w:val="center"/>
          </w:tcPr>
          <w:p w14:paraId="31A00A0D"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.001</w:t>
            </w:r>
          </w:p>
        </w:tc>
        <w:tc>
          <w:tcPr>
            <w:tcW w:w="444" w:type="pct"/>
            <w:shd w:val="clear" w:color="auto" w:fill="FFFFFF"/>
            <w:vAlign w:val="center"/>
          </w:tcPr>
          <w:p w14:paraId="63AE53A9"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themeColor="text1"/>
                <w:sz w:val="20"/>
              </w:rPr>
            </w:pPr>
            <w:r w:rsidRPr="002C438C">
              <w:rPr>
                <w:rFonts w:ascii="Times New Roman" w:hAnsi="Times New Roman" w:cs="Times New Roman"/>
                <w:color w:val="000000" w:themeColor="text1"/>
                <w:sz w:val="20"/>
              </w:rPr>
              <w:t>1.001</w:t>
            </w:r>
          </w:p>
        </w:tc>
        <w:tc>
          <w:tcPr>
            <w:tcW w:w="359" w:type="pct"/>
            <w:shd w:val="clear" w:color="auto" w:fill="FFFFFF"/>
            <w:vAlign w:val="center"/>
          </w:tcPr>
          <w:p w14:paraId="31CC6A6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.001</w:t>
            </w:r>
          </w:p>
        </w:tc>
        <w:tc>
          <w:tcPr>
            <w:tcW w:w="388" w:type="pct"/>
            <w:shd w:val="clear" w:color="auto" w:fill="FFFFFF"/>
            <w:vAlign w:val="center"/>
          </w:tcPr>
          <w:p w14:paraId="0A1B2D31"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382" w:type="pct"/>
            <w:shd w:val="clear" w:color="auto" w:fill="FFFFFF"/>
            <w:vAlign w:val="center"/>
          </w:tcPr>
          <w:p w14:paraId="4FA16B9E"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.000</w:t>
            </w:r>
          </w:p>
        </w:tc>
        <w:tc>
          <w:tcPr>
            <w:tcW w:w="461" w:type="pct"/>
            <w:shd w:val="clear" w:color="auto" w:fill="FFFFFF"/>
            <w:vAlign w:val="center"/>
          </w:tcPr>
          <w:p w14:paraId="7EAA7CCA" w14:textId="77777777" w:rsidR="002C438C" w:rsidRPr="002C438C" w:rsidRDefault="002C438C" w:rsidP="002C438C">
            <w:pPr>
              <w:adjustRightInd w:val="0"/>
              <w:snapToGrid w:val="0"/>
              <w:spacing w:after="0" w:line="240" w:lineRule="auto"/>
              <w:jc w:val="center"/>
              <w:rPr>
                <w:rFonts w:ascii="Times New Roman" w:hAnsi="Times New Roman" w:cs="Times New Roman"/>
                <w:color w:val="000000"/>
                <w:sz w:val="20"/>
              </w:rPr>
            </w:pPr>
            <w:r w:rsidRPr="002C438C">
              <w:rPr>
                <w:rFonts w:ascii="Times New Roman" w:hAnsi="Times New Roman" w:cs="Times New Roman"/>
                <w:color w:val="000000"/>
                <w:sz w:val="20"/>
              </w:rPr>
              <w:t>1.001</w:t>
            </w:r>
          </w:p>
        </w:tc>
      </w:tr>
    </w:tbl>
    <w:p w14:paraId="38675CEF" w14:textId="77777777" w:rsidR="002C438C"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rPr>
        <w:t>Although minor variations appear in the coefficient magnitudes, their significance and influence remain the same as reflected in the GEE model since: (</w:t>
      </w:r>
      <w:proofErr w:type="spellStart"/>
      <w:r w:rsidRPr="002C438C">
        <w:rPr>
          <w:rFonts w:ascii="Times New Roman" w:hAnsi="Times New Roman" w:cs="Times New Roman"/>
        </w:rPr>
        <w:t>i</w:t>
      </w:r>
      <w:proofErr w:type="spellEnd"/>
      <w:r w:rsidRPr="002C438C">
        <w:rPr>
          <w:rFonts w:ascii="Times New Roman" w:hAnsi="Times New Roman" w:cs="Times New Roman"/>
        </w:rPr>
        <w:t xml:space="preserve">) human capital strongly influences young restaurants’ </w:t>
      </w:r>
      <w:r w:rsidRPr="002C438C">
        <w:rPr>
          <w:rFonts w:ascii="Times New Roman" w:hAnsi="Times New Roman" w:cs="Times New Roman"/>
        </w:rPr>
        <w:lastRenderedPageBreak/>
        <w:t>adaptation to Industry 5.0, (ii) relational capital plays a key role in developmental restaurants’ transition to Industry 5.0, and (iii) mature restaurants are subject to an integrated yet weak effect of all three IC dimensions. Therefore, it can be stated that the consistency of the findings across both models provides evidence for the robustness of the results.</w:t>
      </w:r>
    </w:p>
    <w:p w14:paraId="70650FC4" w14:textId="77777777" w:rsidR="002C438C" w:rsidRPr="002C438C" w:rsidRDefault="002C438C" w:rsidP="002C438C">
      <w:pPr>
        <w:pStyle w:val="ListParagraph"/>
        <w:numPr>
          <w:ilvl w:val="0"/>
          <w:numId w:val="1"/>
        </w:numPr>
        <w:spacing w:before="360" w:after="120" w:line="240" w:lineRule="auto"/>
        <w:ind w:left="357" w:hanging="357"/>
        <w:jc w:val="both"/>
        <w:rPr>
          <w:rFonts w:ascii="Times New Roman" w:hAnsi="Times New Roman" w:cs="Times New Roman"/>
          <w:b/>
          <w:sz w:val="28"/>
          <w:szCs w:val="28"/>
        </w:rPr>
      </w:pPr>
      <w:r w:rsidRPr="002C438C">
        <w:rPr>
          <w:rFonts w:ascii="Times New Roman" w:hAnsi="Times New Roman" w:cs="Times New Roman"/>
          <w:b/>
          <w:sz w:val="28"/>
          <w:szCs w:val="28"/>
        </w:rPr>
        <w:t>Conclusions</w:t>
      </w:r>
    </w:p>
    <w:p w14:paraId="701AD553" w14:textId="22823929"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b/>
          <w:bCs/>
        </w:rPr>
        <w:t>5.1. General Perspective</w:t>
      </w:r>
    </w:p>
    <w:p w14:paraId="5076CC8F"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 xml:space="preserve">The research aimed to determine if the IC dimensions influenced the reactions of the young, developmental, and mature restaurants during their transition to Industry 5.0. In other words, it concentrated on determining whether managers’ decision to adapt their restaurant activities to the new circumstances is influenced by IC dimensions, namely: human, structural, and relational capital. The results bring forward several differences based on restaurant’s level of maturity. Young restaurants’ economic behavior is strongly influenced by human capital (ß=0.986, p=0.000 &lt; 0.001) and relational capital (ß=0.011, p=0.020 &lt; 0.05), while the economic behavior of the developmental restaurants is strongly influenced by relational capital (ß=0.583, p=0.032 &lt; 0.05). In contrast, all three dimensions of IC influence the economic behavior of the mature restaurants, namely: human capital (ß=-0.001, p=0.000 &lt; 0.001), relational capital (ß=0.003, p=0.001 &lt; 0.005), and structural capital (ß=0.005, p=0.000 &lt; 0.001).  </w:t>
      </w:r>
    </w:p>
    <w:p w14:paraId="78926A14" w14:textId="5262A91E"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b/>
          <w:bCs/>
        </w:rPr>
        <w:t>5.2. Theoretical and Practical Implications</w:t>
      </w:r>
    </w:p>
    <w:p w14:paraId="23FC8331"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rPr>
        <w:t>These findings have both theoretical and practical implications. At the theoretical level, they managed to expand the literature from the hospitality and IC management field by providing an analysis on how IC dimensions influenced the reactions</w:t>
      </w:r>
      <w:r w:rsidRPr="002C438C">
        <w:rPr>
          <w:rFonts w:ascii="Times New Roman" w:hAnsi="Times New Roman" w:cs="Times New Roman"/>
          <w:sz w:val="24"/>
        </w:rPr>
        <w:t xml:space="preserve"> of the young, developmental, and mature restaurants during their transition to Industry 5.0. Furthermore, they complement both the research from the hospitality field (Fernandez-Perez de la Lastra et al., 2020; Khalique et al., 2020; Leon, 2021) and the one from the IC management field (Alcalde-Delgado et al., 2020; Mohapatra et al., 2019) by emphasizing the relationship between IC dimensions and restaurants’ level of maturity.</w:t>
      </w:r>
    </w:p>
    <w:p w14:paraId="2941C771"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 xml:space="preserve">Thus, the current findings are in line with the insights provided by Lee and Lin (2019) by highlighting the existence of a relationship between IC and a firm’s level of development. However, they also provide a possible explanation for the mixed results obtained in the previous studies by demonstrating the distinct influence that each IC dimension has on restaurants’ reactions. Furthermore, the fact that </w:t>
      </w:r>
      <w:proofErr w:type="gramStart"/>
      <w:r w:rsidRPr="002C438C">
        <w:rPr>
          <w:rFonts w:ascii="Times New Roman" w:hAnsi="Times New Roman" w:cs="Times New Roman"/>
          <w:sz w:val="24"/>
        </w:rPr>
        <w:t>the mature</w:t>
      </w:r>
      <w:proofErr w:type="gramEnd"/>
      <w:r w:rsidRPr="002C438C">
        <w:rPr>
          <w:rFonts w:ascii="Times New Roman" w:hAnsi="Times New Roman" w:cs="Times New Roman"/>
          <w:sz w:val="24"/>
        </w:rPr>
        <w:t xml:space="preserve"> restaurants are the only ones influenced by structural capital supports the findings of Forte et al. (2017), who state that older / mature firms tend to develop structural and process-related rigidities. </w:t>
      </w:r>
    </w:p>
    <w:p w14:paraId="5B8D0F51" w14:textId="77777777" w:rsidR="002C438C" w:rsidRPr="002C438C"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sz w:val="24"/>
        </w:rPr>
        <w:t>The current research also has various practical implications. Firstly, it facilitates managers understanding of how certain IC dimensions can influence their strategies during their transition to Industry 5.0, by providing a maturity-bas</w:t>
      </w:r>
      <w:r w:rsidRPr="002C438C">
        <w:rPr>
          <w:rFonts w:ascii="Times New Roman" w:hAnsi="Times New Roman" w:cs="Times New Roman"/>
        </w:rPr>
        <w:t>ed strategic map. For human and structural capital, it offers direct levers for action. For relational capital, it highlights a critical association between market success and adaptability, guiding managers to foster this virtuous cycle rather than assuming growth alone will spur change.</w:t>
      </w:r>
    </w:p>
    <w:p w14:paraId="4D918B63"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rPr>
        <w:t>Secondly, it offers a strategic tool for managers that is not only adapted to their restaurant’s level of maturity but also provides crucial, data-driven guidance for strategic resource allocation. The effect sizes revealed in this study allow managers to prioritize initiatives based on the relative impact of investments in each IC dimen</w:t>
      </w:r>
      <w:r w:rsidRPr="002C438C">
        <w:rPr>
          <w:rFonts w:ascii="Times New Roman" w:hAnsi="Times New Roman" w:cs="Times New Roman"/>
          <w:sz w:val="24"/>
        </w:rPr>
        <w:t>sion.</w:t>
      </w:r>
    </w:p>
    <w:p w14:paraId="639D438F"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 xml:space="preserve">For owners of young restaurants, the data show that human capital has an exponentially greater effect on adaptive capacity (increasing odds by 168%) than other dimensions. Hence, their </w:t>
      </w:r>
      <w:r w:rsidRPr="002C438C">
        <w:rPr>
          <w:rFonts w:ascii="Times New Roman" w:hAnsi="Times New Roman" w:cs="Times New Roman"/>
          <w:sz w:val="24"/>
        </w:rPr>
        <w:lastRenderedPageBreak/>
        <w:t xml:space="preserve">priority should </w:t>
      </w:r>
      <w:proofErr w:type="gramStart"/>
      <w:r w:rsidRPr="002C438C">
        <w:rPr>
          <w:rFonts w:ascii="Times New Roman" w:hAnsi="Times New Roman" w:cs="Times New Roman"/>
          <w:sz w:val="24"/>
        </w:rPr>
        <w:t>be on</w:t>
      </w:r>
      <w:proofErr w:type="gramEnd"/>
      <w:r w:rsidRPr="002C438C">
        <w:rPr>
          <w:rFonts w:ascii="Times New Roman" w:hAnsi="Times New Roman" w:cs="Times New Roman"/>
          <w:sz w:val="24"/>
        </w:rPr>
        <w:t xml:space="preserve"> strategic investment in human capital, building tech-savvy, collaborative human resources. In the context of Industry 5.0, this means hiring or training staff for roles that involve collaboration with technology, such as using AI for personalized menu recommendations or managing customer relationships through digital platforms. Their agility allows them to build a human-tech collaborative culture from the ground up. </w:t>
      </w:r>
    </w:p>
    <w:p w14:paraId="2335A2B0"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 xml:space="preserve">For developmental restaurants, the focus must be on nurturing relational capital as it increases the odds of adaptation by 79.2%. Practical steps include leveraging customer data from loyalty programs to co-create experiences, using social media to build a community, and forming strategic alliances with local suppliers or tech partners to enhance resilience and offer unique value propositions that blend digital and human touchpoints. Managers should </w:t>
      </w:r>
      <w:proofErr w:type="gramStart"/>
      <w:r w:rsidRPr="002C438C">
        <w:rPr>
          <w:rFonts w:ascii="Times New Roman" w:hAnsi="Times New Roman" w:cs="Times New Roman"/>
          <w:sz w:val="24"/>
        </w:rPr>
        <w:t>take into account</w:t>
      </w:r>
      <w:proofErr w:type="gramEnd"/>
      <w:r w:rsidRPr="002C438C">
        <w:rPr>
          <w:rFonts w:ascii="Times New Roman" w:hAnsi="Times New Roman" w:cs="Times New Roman"/>
          <w:sz w:val="24"/>
        </w:rPr>
        <w:t xml:space="preserve"> that these initiatives simultaneously drive growth as market success and strategic agility are mutually reinforcing.</w:t>
      </w:r>
    </w:p>
    <w:p w14:paraId="5BAEF654"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 xml:space="preserve">For mature restaurants, the strategy is one of integration and renewal. Managers should conduct an audit of their structural capital (e.g., processes, databases) to identify and modernize rigid systems that may hinder adaptation. They can then deploy their experienced human capital to mentor teams in adopting new technologies like </w:t>
      </w:r>
      <w:proofErr w:type="spellStart"/>
      <w:r w:rsidRPr="002C438C">
        <w:rPr>
          <w:rFonts w:ascii="Times New Roman" w:hAnsi="Times New Roman" w:cs="Times New Roman"/>
          <w:sz w:val="24"/>
        </w:rPr>
        <w:t>cobots</w:t>
      </w:r>
      <w:proofErr w:type="spellEnd"/>
      <w:r w:rsidRPr="002C438C">
        <w:rPr>
          <w:rFonts w:ascii="Times New Roman" w:hAnsi="Times New Roman" w:cs="Times New Roman"/>
          <w:sz w:val="24"/>
        </w:rPr>
        <w:t xml:space="preserve"> for repetitive kitchen tasks, freeing up staff for creative and customer-facing roles. Their established relational capital can be used to pilot new, tech-enhanced dining concepts with their loyal customer base, thereby leveraging their reputation for stability while introducing innovation.</w:t>
      </w:r>
    </w:p>
    <w:p w14:paraId="622CDDCA"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While this study focuses on Romania, its implications resonate across different geographic contexts, albeit with necessary adaptations. The finding that maturity dictates IC leverage is likely a universal principle. However, the specific expression of these strategies will be shaped by regional factors. For example, in regions with high labor costs (e.g., Western Europe, North America), the practical application for mature restaurants might emphasize structural capital investments in automation to augment a smaller, highly skilled workforce. In contrast, in regions with a younger demographic and vibrant entrepreneurial ecosystems (e.g., parts of Southeast Asia or Latin America), young restaurants might focus on human capital strategies that leverage mobile-first technologies and social media relational capital as their primary competitive tools.</w:t>
      </w:r>
    </w:p>
    <w:p w14:paraId="6E457016" w14:textId="77777777" w:rsidR="002C438C" w:rsidRPr="002C438C"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sz w:val="24"/>
        </w:rPr>
        <w:t>Therefore, the presented framework does not prescribe a one-size-fits-all solution but offers a diagnostic tool. Managers and policymakers in any region can use the maturity-IC nexus to assess their context. The key takeaway is that a successful transition to Industry 5.0 in the service sector is not merely about adopting technology, but about strategically aligning</w:t>
      </w:r>
      <w:r w:rsidRPr="002C438C">
        <w:rPr>
          <w:rFonts w:ascii="Times New Roman" w:hAnsi="Times New Roman" w:cs="Times New Roman"/>
        </w:rPr>
        <w:t xml:space="preserve"> a firm's most valuable intangible assets, its people, its processes, and its relationships, with its stage of development and local market conditions. This approach ensures that the transition is both human-centric and contextually relevant.</w:t>
      </w:r>
    </w:p>
    <w:p w14:paraId="78E9F6CC" w14:textId="77777777" w:rsidR="002C438C" w:rsidRPr="002C438C" w:rsidRDefault="002C438C" w:rsidP="002C438C">
      <w:pPr>
        <w:shd w:val="clear" w:color="auto" w:fill="FFFFFF"/>
        <w:rPr>
          <w:rFonts w:ascii="Times New Roman" w:hAnsi="Times New Roman" w:cs="Times New Roman"/>
        </w:rPr>
      </w:pPr>
      <w:r w:rsidRPr="002C438C">
        <w:rPr>
          <w:rFonts w:ascii="Times New Roman" w:hAnsi="Times New Roman" w:cs="Times New Roman"/>
          <w:b/>
          <w:bCs/>
        </w:rPr>
        <w:t>5.3. Limits and future research avenues</w:t>
      </w:r>
    </w:p>
    <w:p w14:paraId="42ADE539"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Despite these findings and implications, the current research is limited by several factors that also establish future research avenues.</w:t>
      </w:r>
    </w:p>
    <w:p w14:paraId="243F91F4"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rPr>
        <w:t xml:space="preserve">Firstly, the context in which the research was developed emphasizes only the strategic reactions of the best restaurants from </w:t>
      </w:r>
      <w:r w:rsidRPr="002C438C">
        <w:rPr>
          <w:rFonts w:ascii="Times New Roman" w:hAnsi="Times New Roman" w:cs="Times New Roman"/>
          <w:sz w:val="24"/>
        </w:rPr>
        <w:t>Romania. Different results could have been obtained if a more diverse sample from different countries were included.</w:t>
      </w:r>
    </w:p>
    <w:p w14:paraId="35CEF3BD"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 xml:space="preserve">Secondly, the measurement of IC dimensions presents key limitations. The use of financial proxies, though objective, may not fully capture the richness of these </w:t>
      </w:r>
      <w:proofErr w:type="gramStart"/>
      <w:r w:rsidRPr="002C438C">
        <w:rPr>
          <w:rFonts w:ascii="Times New Roman" w:hAnsi="Times New Roman" w:cs="Times New Roman"/>
          <w:sz w:val="24"/>
        </w:rPr>
        <w:t>constructs</w:t>
      </w:r>
      <w:proofErr w:type="gramEnd"/>
      <w:r w:rsidRPr="002C438C">
        <w:rPr>
          <w:rFonts w:ascii="Times New Roman" w:hAnsi="Times New Roman" w:cs="Times New Roman"/>
          <w:sz w:val="24"/>
        </w:rPr>
        <w:t xml:space="preserve">. Most critically, the measurement of relational capital through revenue growth can make it difficult to determine whether growth drives adaptation or adaptation drives growth. Future research could employ more direct and defensible measures, such as customer loyalty indices, brand </w:t>
      </w:r>
      <w:r w:rsidRPr="002C438C">
        <w:rPr>
          <w:rFonts w:ascii="Times New Roman" w:hAnsi="Times New Roman" w:cs="Times New Roman"/>
          <w:sz w:val="24"/>
        </w:rPr>
        <w:lastRenderedPageBreak/>
        <w:t>equity metrics, or the intensity of marketing investments, to properly isolate the effect of relational assets, although these metrics have a higher level of subjectivity.</w:t>
      </w:r>
    </w:p>
    <w:p w14:paraId="5F69790B" w14:textId="77777777" w:rsidR="002C438C" w:rsidRPr="002C438C" w:rsidRDefault="002C438C" w:rsidP="002C438C">
      <w:pPr>
        <w:shd w:val="clear" w:color="auto" w:fill="FFFFFF"/>
        <w:spacing w:before="120" w:after="120" w:line="240" w:lineRule="auto"/>
        <w:jc w:val="both"/>
        <w:rPr>
          <w:rFonts w:ascii="Times New Roman" w:hAnsi="Times New Roman" w:cs="Times New Roman"/>
          <w:sz w:val="24"/>
        </w:rPr>
      </w:pPr>
      <w:r w:rsidRPr="002C438C">
        <w:rPr>
          <w:rFonts w:ascii="Times New Roman" w:hAnsi="Times New Roman" w:cs="Times New Roman"/>
          <w:sz w:val="24"/>
        </w:rPr>
        <w:t>Hence, further research could be developed by (</w:t>
      </w:r>
      <w:proofErr w:type="spellStart"/>
      <w:r w:rsidRPr="002C438C">
        <w:rPr>
          <w:rFonts w:ascii="Times New Roman" w:hAnsi="Times New Roman" w:cs="Times New Roman"/>
          <w:sz w:val="24"/>
        </w:rPr>
        <w:t>i</w:t>
      </w:r>
      <w:proofErr w:type="spellEnd"/>
      <w:r w:rsidRPr="002C438C">
        <w:rPr>
          <w:rFonts w:ascii="Times New Roman" w:hAnsi="Times New Roman" w:cs="Times New Roman"/>
          <w:sz w:val="24"/>
        </w:rPr>
        <w:t>) increasing and diversifying the research sample; (ii) analyzing the influence of the lessons learned in Industry 4.0 on the current strategic decisions; (iii) determining the impact of cultural specificity on managers’ strategic decisions during their transition to Industry 5.0; (iv) employing a qualitative – quantitative approach for evaluating IC dimensions; and (v) incorporating additional organizational variables to build a more comprehensive model of strategic adaptation.</w:t>
      </w:r>
    </w:p>
    <w:p w14:paraId="6C557D99" w14:textId="77777777" w:rsidR="002C438C" w:rsidRPr="002C438C" w:rsidRDefault="002C438C" w:rsidP="002C438C">
      <w:pPr>
        <w:spacing w:before="360" w:after="120" w:line="240" w:lineRule="auto"/>
        <w:jc w:val="both"/>
        <w:rPr>
          <w:rFonts w:ascii="Times New Roman" w:hAnsi="Times New Roman" w:cs="Times New Roman"/>
          <w:b/>
          <w:sz w:val="24"/>
          <w:szCs w:val="24"/>
        </w:rPr>
      </w:pPr>
      <w:r w:rsidRPr="002C438C">
        <w:rPr>
          <w:rFonts w:ascii="Times New Roman" w:hAnsi="Times New Roman" w:cs="Times New Roman"/>
          <w:b/>
          <w:sz w:val="24"/>
          <w:szCs w:val="24"/>
        </w:rPr>
        <w:t>Acknowledgment</w:t>
      </w:r>
    </w:p>
    <w:p w14:paraId="26C05849" w14:textId="77777777" w:rsidR="002C438C" w:rsidRPr="002C438C" w:rsidRDefault="002C438C" w:rsidP="002C438C">
      <w:pPr>
        <w:shd w:val="clear" w:color="auto" w:fill="FFFFFF"/>
        <w:spacing w:before="120" w:after="120" w:line="240" w:lineRule="auto"/>
        <w:jc w:val="both"/>
        <w:rPr>
          <w:rFonts w:ascii="Times New Roman" w:hAnsi="Times New Roman" w:cs="Times New Roman"/>
        </w:rPr>
      </w:pPr>
      <w:r w:rsidRPr="002C438C">
        <w:rPr>
          <w:rFonts w:ascii="Times New Roman" w:hAnsi="Times New Roman" w:cs="Times New Roman"/>
        </w:rPr>
        <w:t xml:space="preserve">The research reported in this paper is supported by the Research Vice-Rectorate of </w:t>
      </w:r>
      <w:proofErr w:type="spellStart"/>
      <w:r w:rsidRPr="002C438C">
        <w:rPr>
          <w:rFonts w:ascii="Times New Roman" w:hAnsi="Times New Roman" w:cs="Times New Roman"/>
        </w:rPr>
        <w:t>Universitat</w:t>
      </w:r>
      <w:proofErr w:type="spellEnd"/>
      <w:r w:rsidRPr="002C438C">
        <w:rPr>
          <w:rFonts w:ascii="Times New Roman" w:hAnsi="Times New Roman" w:cs="Times New Roman"/>
        </w:rPr>
        <w:t xml:space="preserve"> </w:t>
      </w:r>
      <w:proofErr w:type="spellStart"/>
      <w:r w:rsidRPr="002C438C">
        <w:rPr>
          <w:rFonts w:ascii="Times New Roman" w:hAnsi="Times New Roman" w:cs="Times New Roman"/>
        </w:rPr>
        <w:t>Politècnica</w:t>
      </w:r>
      <w:proofErr w:type="spellEnd"/>
      <w:r w:rsidRPr="002C438C">
        <w:rPr>
          <w:rFonts w:ascii="Times New Roman" w:hAnsi="Times New Roman" w:cs="Times New Roman"/>
        </w:rPr>
        <w:t xml:space="preserve"> de València (UPV) for the project “Knowledge Sharing Strategies for Industry 5.0 transition” (PAID-06-23) / </w:t>
      </w:r>
      <w:proofErr w:type="spellStart"/>
      <w:r w:rsidRPr="002C438C">
        <w:rPr>
          <w:rFonts w:ascii="Times New Roman" w:hAnsi="Times New Roman" w:cs="Times New Roman"/>
        </w:rPr>
        <w:t>Financiado</w:t>
      </w:r>
      <w:proofErr w:type="spellEnd"/>
      <w:r w:rsidRPr="002C438C">
        <w:rPr>
          <w:rFonts w:ascii="Times New Roman" w:hAnsi="Times New Roman" w:cs="Times New Roman"/>
        </w:rPr>
        <w:t xml:space="preserve"> con Ayuda a </w:t>
      </w:r>
      <w:proofErr w:type="spellStart"/>
      <w:r w:rsidRPr="002C438C">
        <w:rPr>
          <w:rFonts w:ascii="Times New Roman" w:hAnsi="Times New Roman" w:cs="Times New Roman"/>
        </w:rPr>
        <w:t>Primeros</w:t>
      </w:r>
      <w:proofErr w:type="spellEnd"/>
      <w:r w:rsidRPr="002C438C">
        <w:rPr>
          <w:rFonts w:ascii="Times New Roman" w:hAnsi="Times New Roman" w:cs="Times New Roman"/>
        </w:rPr>
        <w:t xml:space="preserve"> </w:t>
      </w:r>
      <w:proofErr w:type="spellStart"/>
      <w:r w:rsidRPr="002C438C">
        <w:rPr>
          <w:rFonts w:ascii="Times New Roman" w:hAnsi="Times New Roman" w:cs="Times New Roman"/>
        </w:rPr>
        <w:t>Proyectos</w:t>
      </w:r>
      <w:proofErr w:type="spellEnd"/>
      <w:r w:rsidRPr="002C438C">
        <w:rPr>
          <w:rFonts w:ascii="Times New Roman" w:hAnsi="Times New Roman" w:cs="Times New Roman"/>
        </w:rPr>
        <w:t xml:space="preserve"> de </w:t>
      </w:r>
      <w:proofErr w:type="spellStart"/>
      <w:r w:rsidRPr="002C438C">
        <w:rPr>
          <w:rFonts w:ascii="Times New Roman" w:hAnsi="Times New Roman" w:cs="Times New Roman"/>
        </w:rPr>
        <w:t>Investigación</w:t>
      </w:r>
      <w:proofErr w:type="spellEnd"/>
      <w:r w:rsidRPr="002C438C">
        <w:rPr>
          <w:rFonts w:ascii="Times New Roman" w:hAnsi="Times New Roman" w:cs="Times New Roman"/>
        </w:rPr>
        <w:t xml:space="preserve"> (PAID-06-23), </w:t>
      </w:r>
      <w:proofErr w:type="spellStart"/>
      <w:r w:rsidRPr="002C438C">
        <w:rPr>
          <w:rFonts w:ascii="Times New Roman" w:hAnsi="Times New Roman" w:cs="Times New Roman"/>
        </w:rPr>
        <w:t>Vicerrectorado</w:t>
      </w:r>
      <w:proofErr w:type="spellEnd"/>
      <w:r w:rsidRPr="002C438C">
        <w:rPr>
          <w:rFonts w:ascii="Times New Roman" w:hAnsi="Times New Roman" w:cs="Times New Roman"/>
        </w:rPr>
        <w:t xml:space="preserve"> de </w:t>
      </w:r>
      <w:proofErr w:type="spellStart"/>
      <w:r w:rsidRPr="002C438C">
        <w:rPr>
          <w:rFonts w:ascii="Times New Roman" w:hAnsi="Times New Roman" w:cs="Times New Roman"/>
        </w:rPr>
        <w:t>Investigación</w:t>
      </w:r>
      <w:proofErr w:type="spellEnd"/>
      <w:r w:rsidRPr="002C438C">
        <w:rPr>
          <w:rFonts w:ascii="Times New Roman" w:hAnsi="Times New Roman" w:cs="Times New Roman"/>
        </w:rPr>
        <w:t xml:space="preserve"> de la </w:t>
      </w:r>
      <w:proofErr w:type="spellStart"/>
      <w:r w:rsidRPr="002C438C">
        <w:rPr>
          <w:rFonts w:ascii="Times New Roman" w:hAnsi="Times New Roman" w:cs="Times New Roman"/>
        </w:rPr>
        <w:t>Universitat</w:t>
      </w:r>
      <w:proofErr w:type="spellEnd"/>
      <w:r w:rsidRPr="002C438C">
        <w:rPr>
          <w:rFonts w:ascii="Times New Roman" w:hAnsi="Times New Roman" w:cs="Times New Roman"/>
        </w:rPr>
        <w:t xml:space="preserve"> </w:t>
      </w:r>
      <w:proofErr w:type="spellStart"/>
      <w:r w:rsidRPr="002C438C">
        <w:rPr>
          <w:rFonts w:ascii="Times New Roman" w:hAnsi="Times New Roman" w:cs="Times New Roman"/>
        </w:rPr>
        <w:t>Politècnica</w:t>
      </w:r>
      <w:proofErr w:type="spellEnd"/>
      <w:r w:rsidRPr="002C438C">
        <w:rPr>
          <w:rFonts w:ascii="Times New Roman" w:hAnsi="Times New Roman" w:cs="Times New Roman"/>
        </w:rPr>
        <w:t xml:space="preserve"> de València (UPV).</w:t>
      </w:r>
    </w:p>
    <w:p w14:paraId="3C07AC2E" w14:textId="77777777" w:rsidR="002C438C" w:rsidRPr="002C438C" w:rsidRDefault="002C438C" w:rsidP="002C438C">
      <w:pPr>
        <w:spacing w:before="360" w:after="120" w:line="240" w:lineRule="auto"/>
        <w:jc w:val="both"/>
        <w:rPr>
          <w:rFonts w:ascii="Times New Roman" w:hAnsi="Times New Roman" w:cs="Times New Roman"/>
          <w:b/>
          <w:sz w:val="28"/>
          <w:szCs w:val="28"/>
        </w:rPr>
      </w:pPr>
      <w:r w:rsidRPr="002C438C">
        <w:rPr>
          <w:rFonts w:ascii="Times New Roman" w:hAnsi="Times New Roman" w:cs="Times New Roman"/>
          <w:b/>
          <w:sz w:val="28"/>
          <w:szCs w:val="28"/>
        </w:rPr>
        <w:t>References</w:t>
      </w:r>
    </w:p>
    <w:p w14:paraId="0D653B61"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Alcalde-Delgado, R., </w:t>
      </w:r>
      <w:proofErr w:type="spellStart"/>
      <w:r w:rsidRPr="002C438C">
        <w:rPr>
          <w:sz w:val="24"/>
          <w:szCs w:val="24"/>
        </w:rPr>
        <w:t>Sáiz</w:t>
      </w:r>
      <w:proofErr w:type="spellEnd"/>
      <w:r w:rsidRPr="002C438C">
        <w:rPr>
          <w:sz w:val="24"/>
          <w:szCs w:val="24"/>
        </w:rPr>
        <w:t xml:space="preserve">-Barcena, L., Olmo, R. and Alonso de </w:t>
      </w:r>
      <w:proofErr w:type="spellStart"/>
      <w:r w:rsidRPr="002C438C">
        <w:rPr>
          <w:sz w:val="24"/>
          <w:szCs w:val="24"/>
        </w:rPr>
        <w:t>Armiño</w:t>
      </w:r>
      <w:proofErr w:type="spellEnd"/>
      <w:r w:rsidRPr="002C438C">
        <w:rPr>
          <w:sz w:val="24"/>
          <w:szCs w:val="24"/>
        </w:rPr>
        <w:t xml:space="preserve">, C. (2020).  “Empirical study of the business growth strategy related to the added value by intellectual capital,” </w:t>
      </w:r>
      <w:r w:rsidRPr="002C438C">
        <w:rPr>
          <w:i/>
          <w:iCs/>
          <w:sz w:val="24"/>
          <w:szCs w:val="24"/>
        </w:rPr>
        <w:t>International Journal of Production Management and Engineering</w:t>
      </w:r>
      <w:r w:rsidRPr="002C438C">
        <w:rPr>
          <w:sz w:val="24"/>
          <w:szCs w:val="24"/>
        </w:rPr>
        <w:t xml:space="preserve">, vol. 8 no. 1, pp. 1-11. </w:t>
      </w:r>
      <w:hyperlink r:id="rId7" w:tgtFrame="_blank" w:history="1">
        <w:r w:rsidRPr="002C438C">
          <w:rPr>
            <w:rStyle w:val="Hyperlink"/>
          </w:rPr>
          <w:t>https://doi.org/10.4995/ijpme.2020.10817</w:t>
        </w:r>
      </w:hyperlink>
    </w:p>
    <w:p w14:paraId="7FA3A378"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Angrist, J.D. and Pischke, J.S. (2009). </w:t>
      </w:r>
      <w:r w:rsidRPr="002C438C">
        <w:rPr>
          <w:i/>
          <w:iCs/>
          <w:sz w:val="24"/>
          <w:szCs w:val="24"/>
        </w:rPr>
        <w:t>Mostly harmless econometrics: An empiricist's companion</w:t>
      </w:r>
      <w:r w:rsidRPr="002C438C">
        <w:rPr>
          <w:sz w:val="24"/>
          <w:szCs w:val="24"/>
        </w:rPr>
        <w:t>. New Jersey: Princeton University Press.</w:t>
      </w:r>
    </w:p>
    <w:p w14:paraId="43C32B61"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Battisti, G., Gallego, J., Rubalcaba, L. and </w:t>
      </w:r>
      <w:proofErr w:type="spellStart"/>
      <w:r w:rsidRPr="002C438C">
        <w:rPr>
          <w:sz w:val="24"/>
          <w:szCs w:val="24"/>
        </w:rPr>
        <w:t>Windrum</w:t>
      </w:r>
      <w:proofErr w:type="spellEnd"/>
      <w:r w:rsidRPr="002C438C">
        <w:rPr>
          <w:sz w:val="24"/>
          <w:szCs w:val="24"/>
        </w:rPr>
        <w:t xml:space="preserve">, P. (2015). “Open innovation in services: Knowledge sources, intellectual property rights and internationalization,” </w:t>
      </w:r>
      <w:r w:rsidRPr="002C438C">
        <w:rPr>
          <w:i/>
          <w:iCs/>
          <w:sz w:val="24"/>
          <w:szCs w:val="24"/>
        </w:rPr>
        <w:t>Economics of Innovation and New Technology</w:t>
      </w:r>
      <w:r w:rsidRPr="002C438C">
        <w:rPr>
          <w:sz w:val="24"/>
          <w:szCs w:val="24"/>
        </w:rPr>
        <w:t xml:space="preserve">, vol. 24 no. 3, pp. 223–247. </w:t>
      </w:r>
      <w:hyperlink r:id="rId8" w:tgtFrame="_blank" w:history="1">
        <w:r w:rsidRPr="002C438C">
          <w:rPr>
            <w:rStyle w:val="Hyperlink"/>
          </w:rPr>
          <w:t>https://doi.org/10.1080/10438599.2014.924745</w:t>
        </w:r>
      </w:hyperlink>
      <w:r w:rsidRPr="002C438C">
        <w:rPr>
          <w:sz w:val="24"/>
          <w:szCs w:val="24"/>
        </w:rPr>
        <w:t xml:space="preserve">  </w:t>
      </w:r>
    </w:p>
    <w:p w14:paraId="3163FA96"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proofErr w:type="spellStart"/>
      <w:r w:rsidRPr="002C438C">
        <w:rPr>
          <w:sz w:val="24"/>
          <w:szCs w:val="24"/>
        </w:rPr>
        <w:t>Bontis</w:t>
      </w:r>
      <w:proofErr w:type="spellEnd"/>
      <w:r w:rsidRPr="002C438C">
        <w:rPr>
          <w:sz w:val="24"/>
          <w:szCs w:val="24"/>
        </w:rPr>
        <w:t xml:space="preserve">, N., </w:t>
      </w:r>
      <w:proofErr w:type="spellStart"/>
      <w:r w:rsidRPr="002C438C">
        <w:rPr>
          <w:sz w:val="24"/>
          <w:szCs w:val="24"/>
        </w:rPr>
        <w:t>Janošević</w:t>
      </w:r>
      <w:proofErr w:type="spellEnd"/>
      <w:r w:rsidRPr="002C438C">
        <w:rPr>
          <w:sz w:val="24"/>
          <w:szCs w:val="24"/>
        </w:rPr>
        <w:t xml:space="preserve">, S. and </w:t>
      </w:r>
      <w:proofErr w:type="spellStart"/>
      <w:r w:rsidRPr="002C438C">
        <w:rPr>
          <w:sz w:val="24"/>
          <w:szCs w:val="24"/>
        </w:rPr>
        <w:t>Dženopoljac</w:t>
      </w:r>
      <w:proofErr w:type="spellEnd"/>
      <w:r w:rsidRPr="002C438C">
        <w:rPr>
          <w:sz w:val="24"/>
          <w:szCs w:val="24"/>
        </w:rPr>
        <w:t xml:space="preserve">, V. (2015). “Intellectual capital in Serbia's hotel industry,” </w:t>
      </w:r>
      <w:r w:rsidRPr="002C438C">
        <w:rPr>
          <w:i/>
          <w:iCs/>
          <w:sz w:val="24"/>
          <w:szCs w:val="24"/>
        </w:rPr>
        <w:t>International Journal of Contemporary Hospitality Management</w:t>
      </w:r>
      <w:r w:rsidRPr="002C438C">
        <w:rPr>
          <w:sz w:val="24"/>
          <w:szCs w:val="24"/>
        </w:rPr>
        <w:t xml:space="preserve">, vol. 27 no. 6, pp. 1365–1384. </w:t>
      </w:r>
      <w:hyperlink r:id="rId9" w:tgtFrame="_blank" w:history="1">
        <w:r w:rsidRPr="002C438C">
          <w:rPr>
            <w:rStyle w:val="Hyperlink"/>
          </w:rPr>
          <w:t>https://doi.org/10.1108/IJCHM-12-2013-0541</w:t>
        </w:r>
      </w:hyperlink>
    </w:p>
    <w:p w14:paraId="639117DE"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proofErr w:type="spellStart"/>
      <w:r w:rsidRPr="002C438C">
        <w:rPr>
          <w:sz w:val="24"/>
          <w:szCs w:val="24"/>
        </w:rPr>
        <w:t>Breque</w:t>
      </w:r>
      <w:proofErr w:type="spellEnd"/>
      <w:r w:rsidRPr="002C438C">
        <w:rPr>
          <w:sz w:val="24"/>
          <w:szCs w:val="24"/>
        </w:rPr>
        <w:t xml:space="preserve">, M., De </w:t>
      </w:r>
      <w:proofErr w:type="spellStart"/>
      <w:r w:rsidRPr="002C438C">
        <w:rPr>
          <w:sz w:val="24"/>
          <w:szCs w:val="24"/>
        </w:rPr>
        <w:t>Nul</w:t>
      </w:r>
      <w:proofErr w:type="spellEnd"/>
      <w:r w:rsidRPr="002C438C">
        <w:rPr>
          <w:sz w:val="24"/>
          <w:szCs w:val="24"/>
        </w:rPr>
        <w:t xml:space="preserve">, L. and Petridis, A. (2021). </w:t>
      </w:r>
      <w:r w:rsidRPr="002C438C">
        <w:rPr>
          <w:i/>
          <w:iCs/>
          <w:sz w:val="24"/>
          <w:szCs w:val="24"/>
        </w:rPr>
        <w:t>Industry 5.0: Towards a sustainable, human-centric and resilient European industry</w:t>
      </w:r>
      <w:r w:rsidRPr="002C438C">
        <w:rPr>
          <w:sz w:val="24"/>
          <w:szCs w:val="24"/>
        </w:rPr>
        <w:t>. Brussels: Publications Office of the European Union.</w:t>
      </w:r>
    </w:p>
    <w:p w14:paraId="504D9583"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De Winne, S. and Sels, L. (2010). “Interrelationships between human capital, HRM and innovation in Belgian start-ups aiming at an innovation strategy,” </w:t>
      </w:r>
      <w:r w:rsidRPr="002C438C">
        <w:rPr>
          <w:i/>
          <w:iCs/>
          <w:sz w:val="24"/>
          <w:szCs w:val="24"/>
        </w:rPr>
        <w:t>The International Journal of Human Resource Management</w:t>
      </w:r>
      <w:r w:rsidRPr="002C438C">
        <w:rPr>
          <w:sz w:val="24"/>
          <w:szCs w:val="24"/>
        </w:rPr>
        <w:t xml:space="preserve">, vol. 21 no. 11, pp. 1863-1883. </w:t>
      </w:r>
      <w:hyperlink r:id="rId10" w:tgtFrame="_blank" w:history="1">
        <w:r w:rsidRPr="002C438C">
          <w:rPr>
            <w:rStyle w:val="Hyperlink"/>
          </w:rPr>
          <w:t>https://doi.org/10.1080/09585192.2010.505088</w:t>
        </w:r>
      </w:hyperlink>
    </w:p>
    <w:p w14:paraId="4B6D91B7"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Delgado-Verde, M., Cooper, S. and Castro, G.M. (2015). “The moderating role of social networks within the radical innovation process: a multidimensionality of human capital-based analysis,” </w:t>
      </w:r>
      <w:r w:rsidRPr="002C438C">
        <w:rPr>
          <w:i/>
          <w:iCs/>
          <w:sz w:val="24"/>
          <w:szCs w:val="24"/>
        </w:rPr>
        <w:t>International Journal of Technology Management</w:t>
      </w:r>
      <w:r w:rsidRPr="002C438C">
        <w:rPr>
          <w:sz w:val="24"/>
          <w:szCs w:val="24"/>
        </w:rPr>
        <w:t xml:space="preserve">, vol. 69 no. 2, pp. 117-138. </w:t>
      </w:r>
      <w:hyperlink r:id="rId11" w:tgtFrame="_blank" w:history="1">
        <w:r w:rsidRPr="002C438C">
          <w:rPr>
            <w:rStyle w:val="Hyperlink"/>
          </w:rPr>
          <w:t>https://doi.org/10.1504/IJTM.2015.071551</w:t>
        </w:r>
      </w:hyperlink>
    </w:p>
    <w:p w14:paraId="457BEC20"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European Union (2014). Early stage-financing. Available at </w:t>
      </w:r>
      <w:hyperlink r:id="rId12" w:history="1">
        <w:r w:rsidRPr="002C438C">
          <w:rPr>
            <w:rStyle w:val="Hyperlink"/>
          </w:rPr>
          <w:t>https://ec.europa.eu/growth/tools-databases/regional-innovation-monitor/keywords/early-stage-financing</w:t>
        </w:r>
      </w:hyperlink>
      <w:r w:rsidRPr="002C438C">
        <w:rPr>
          <w:sz w:val="24"/>
          <w:szCs w:val="24"/>
        </w:rPr>
        <w:t xml:space="preserve">. </w:t>
      </w:r>
    </w:p>
    <w:p w14:paraId="3E1E6EE0"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Fernandez-Perez de la Lastra, S., Martin-Alcazar, F. and Sanchez-Gardey, G. (2020). “Ambidextrous intellectual capital in the haute cuisine sector,” </w:t>
      </w:r>
      <w:r w:rsidRPr="002C438C">
        <w:rPr>
          <w:i/>
          <w:iCs/>
          <w:sz w:val="24"/>
          <w:szCs w:val="24"/>
        </w:rPr>
        <w:t xml:space="preserve">International Journal of </w:t>
      </w:r>
      <w:r w:rsidRPr="002C438C">
        <w:rPr>
          <w:i/>
          <w:iCs/>
          <w:sz w:val="24"/>
          <w:szCs w:val="24"/>
        </w:rPr>
        <w:lastRenderedPageBreak/>
        <w:t>Contemporary Hospitality Management</w:t>
      </w:r>
      <w:r w:rsidRPr="002C438C">
        <w:rPr>
          <w:sz w:val="24"/>
          <w:szCs w:val="24"/>
        </w:rPr>
        <w:t xml:space="preserve">, vol. 32 no. 1, pp. 173-192. </w:t>
      </w:r>
      <w:hyperlink r:id="rId13" w:tgtFrame="_blank" w:history="1">
        <w:r w:rsidRPr="002C438C">
          <w:rPr>
            <w:rStyle w:val="Hyperlink"/>
          </w:rPr>
          <w:t>https://doi.org/10.1108/IJCHM-12-2018-1007</w:t>
        </w:r>
      </w:hyperlink>
    </w:p>
    <w:p w14:paraId="30906CC1"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Forte, W., Tucker, J., Matonti, G. and Nicolo, G. (2017). “Measuring the intellectual capital of Italian listed companies,” </w:t>
      </w:r>
      <w:r w:rsidRPr="002C438C">
        <w:rPr>
          <w:i/>
          <w:iCs/>
          <w:sz w:val="24"/>
          <w:szCs w:val="24"/>
        </w:rPr>
        <w:t>Journal of Intellectual Capital</w:t>
      </w:r>
      <w:r w:rsidRPr="002C438C">
        <w:rPr>
          <w:sz w:val="24"/>
          <w:szCs w:val="24"/>
        </w:rPr>
        <w:t xml:space="preserve">, vol. 18 no. 4, pp. 710-732. </w:t>
      </w:r>
      <w:hyperlink r:id="rId14" w:tgtFrame="_blank" w:history="1">
        <w:r w:rsidRPr="002C438C">
          <w:rPr>
            <w:rStyle w:val="Hyperlink"/>
          </w:rPr>
          <w:t>https://doi.org/10.1108/JIC-08-2016-0083</w:t>
        </w:r>
      </w:hyperlink>
    </w:p>
    <w:p w14:paraId="2FA8F8BD"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Goebel, V. (2015). “Estimating a measure of intellectual capital value to test its determinants,” </w:t>
      </w:r>
      <w:r w:rsidRPr="002C438C">
        <w:rPr>
          <w:i/>
          <w:iCs/>
          <w:sz w:val="24"/>
          <w:szCs w:val="24"/>
        </w:rPr>
        <w:t>Journal of Intellectual Capital</w:t>
      </w:r>
      <w:r w:rsidRPr="002C438C">
        <w:rPr>
          <w:sz w:val="24"/>
          <w:szCs w:val="24"/>
        </w:rPr>
        <w:t xml:space="preserve">, vol. 16 no. 1, pp. 101-120. </w:t>
      </w:r>
      <w:hyperlink r:id="rId15" w:tgtFrame="_blank" w:history="1">
        <w:r w:rsidRPr="002C438C">
          <w:rPr>
            <w:rStyle w:val="Hyperlink"/>
          </w:rPr>
          <w:t>https://doi.org/10.1108/JIC-12-2013-0118</w:t>
        </w:r>
      </w:hyperlink>
    </w:p>
    <w:p w14:paraId="005B2F39"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Hardin, J.W., and </w:t>
      </w:r>
      <w:proofErr w:type="spellStart"/>
      <w:r w:rsidRPr="002C438C">
        <w:rPr>
          <w:sz w:val="24"/>
          <w:szCs w:val="24"/>
        </w:rPr>
        <w:t>Hilbe</w:t>
      </w:r>
      <w:proofErr w:type="spellEnd"/>
      <w:r w:rsidRPr="002C438C">
        <w:rPr>
          <w:sz w:val="24"/>
          <w:szCs w:val="24"/>
        </w:rPr>
        <w:t xml:space="preserve">, J.M. (2013). </w:t>
      </w:r>
      <w:r w:rsidRPr="002C438C">
        <w:rPr>
          <w:i/>
          <w:iCs/>
          <w:sz w:val="24"/>
          <w:szCs w:val="24"/>
        </w:rPr>
        <w:t>Generalized estimating equations</w:t>
      </w:r>
      <w:r w:rsidRPr="002C438C">
        <w:rPr>
          <w:sz w:val="24"/>
          <w:szCs w:val="24"/>
        </w:rPr>
        <w:t xml:space="preserve"> (2nd ed.). New York: Chapman and Hall/CRC. </w:t>
      </w:r>
      <w:hyperlink r:id="rId16" w:history="1">
        <w:r w:rsidRPr="002C438C">
          <w:rPr>
            <w:rStyle w:val="Hyperlink"/>
          </w:rPr>
          <w:t>https://doi.org/10.1201/b13880</w:t>
        </w:r>
      </w:hyperlink>
      <w:r w:rsidRPr="002C438C">
        <w:rPr>
          <w:sz w:val="24"/>
          <w:szCs w:val="24"/>
        </w:rPr>
        <w:t xml:space="preserve"> </w:t>
      </w:r>
    </w:p>
    <w:p w14:paraId="452F58E7"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Hemmington, N. (2007). “From service to experience: understanding and defining the hospitality business,” </w:t>
      </w:r>
      <w:r w:rsidRPr="002C438C">
        <w:rPr>
          <w:i/>
          <w:iCs/>
          <w:sz w:val="24"/>
          <w:szCs w:val="24"/>
        </w:rPr>
        <w:t>The Service Industries Journal</w:t>
      </w:r>
      <w:r w:rsidRPr="002C438C">
        <w:rPr>
          <w:sz w:val="24"/>
          <w:szCs w:val="24"/>
        </w:rPr>
        <w:t xml:space="preserve">, vol. 27 no. 6, pp. 747-755. </w:t>
      </w:r>
      <w:hyperlink r:id="rId17" w:tgtFrame="_blank" w:history="1">
        <w:r w:rsidRPr="002C438C">
          <w:rPr>
            <w:rStyle w:val="Hyperlink"/>
          </w:rPr>
          <w:t>https://doi.org/10.1080/02642060701453221</w:t>
        </w:r>
      </w:hyperlink>
    </w:p>
    <w:p w14:paraId="44725C6D"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Ivanov, S. and Webster, C. (2019). “Perceived appropriateness and intention to use service robots in tourism”. In Pesonen, J. and Neidhardt, J. (Eds.), </w:t>
      </w:r>
      <w:r w:rsidRPr="002C438C">
        <w:rPr>
          <w:i/>
          <w:iCs/>
          <w:sz w:val="24"/>
          <w:szCs w:val="24"/>
        </w:rPr>
        <w:t>Information and Communication Technologies in Tourism 2019</w:t>
      </w:r>
      <w:r w:rsidRPr="002C438C">
        <w:rPr>
          <w:sz w:val="24"/>
          <w:szCs w:val="24"/>
        </w:rPr>
        <w:t xml:space="preserve"> (</w:t>
      </w:r>
      <w:proofErr w:type="gramStart"/>
      <w:r w:rsidRPr="002C438C">
        <w:rPr>
          <w:sz w:val="24"/>
          <w:szCs w:val="24"/>
        </w:rPr>
        <w:t>pp</w:t>
      </w:r>
      <w:proofErr w:type="gramEnd"/>
      <w:r w:rsidRPr="002C438C">
        <w:rPr>
          <w:sz w:val="24"/>
          <w:szCs w:val="24"/>
        </w:rPr>
        <w:t>. 237-248). Cham: Springer.</w:t>
      </w:r>
    </w:p>
    <w:p w14:paraId="7250A6E6"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Jardon, C.M. (2018). “Moderating effect of intellectual capital on innovativeness in Latin American subsistence small businesses,” </w:t>
      </w:r>
      <w:r w:rsidRPr="002C438C">
        <w:rPr>
          <w:i/>
          <w:iCs/>
          <w:sz w:val="24"/>
          <w:szCs w:val="24"/>
        </w:rPr>
        <w:t>Knowledge Management Research &amp; Practice</w:t>
      </w:r>
      <w:r w:rsidRPr="002C438C">
        <w:rPr>
          <w:sz w:val="24"/>
          <w:szCs w:val="24"/>
        </w:rPr>
        <w:t xml:space="preserve">, vol. 16 no. 1, pp. 134-143. </w:t>
      </w:r>
      <w:hyperlink r:id="rId18" w:tgtFrame="_blank" w:history="1">
        <w:r w:rsidRPr="002C438C">
          <w:rPr>
            <w:rStyle w:val="Hyperlink"/>
          </w:rPr>
          <w:t>https://doi.org/10.1080/14778238.2018.1428069</w:t>
        </w:r>
      </w:hyperlink>
    </w:p>
    <w:p w14:paraId="1B1FB593"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Jiang, Z., Ma, N., Yao, X., Zhou, J., Wang, K., Xie, T. and Meng, J. (2025). “From smart manufacturing in Industry 4.0 to industrial metaverse for Industry 5.0”, </w:t>
      </w:r>
      <w:r w:rsidRPr="002C438C">
        <w:rPr>
          <w:i/>
          <w:iCs/>
          <w:sz w:val="24"/>
          <w:szCs w:val="24"/>
        </w:rPr>
        <w:t>International Journal of Computer Integrated Manufacturing</w:t>
      </w:r>
      <w:r w:rsidRPr="002C438C">
        <w:rPr>
          <w:sz w:val="24"/>
          <w:szCs w:val="24"/>
        </w:rPr>
        <w:t xml:space="preserve">. </w:t>
      </w:r>
      <w:hyperlink r:id="rId19" w:history="1">
        <w:r w:rsidRPr="002C438C">
          <w:rPr>
            <w:rStyle w:val="Hyperlink"/>
          </w:rPr>
          <w:t>https://doi.org/10.1080/0951192X.2025.2556440</w:t>
        </w:r>
      </w:hyperlink>
      <w:r w:rsidRPr="002C438C">
        <w:rPr>
          <w:sz w:val="24"/>
          <w:szCs w:val="24"/>
        </w:rPr>
        <w:t xml:space="preserve"> </w:t>
      </w:r>
    </w:p>
    <w:p w14:paraId="2A859129"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Kehelwalatenna, S. (2016). “Intellectual capital performance during financial crises,” </w:t>
      </w:r>
      <w:r w:rsidRPr="002C438C">
        <w:rPr>
          <w:i/>
          <w:iCs/>
          <w:sz w:val="24"/>
          <w:szCs w:val="24"/>
        </w:rPr>
        <w:t>Measuring Business Excellence</w:t>
      </w:r>
      <w:r w:rsidRPr="002C438C">
        <w:rPr>
          <w:sz w:val="24"/>
          <w:szCs w:val="24"/>
        </w:rPr>
        <w:t xml:space="preserve">, vol. 20 no. 3, pp. 55-78. </w:t>
      </w:r>
      <w:hyperlink r:id="rId20" w:tgtFrame="_blank" w:history="1">
        <w:r w:rsidRPr="002C438C">
          <w:rPr>
            <w:rStyle w:val="Hyperlink"/>
          </w:rPr>
          <w:t>https://doi.org/10.1108/MBE-08-2015-0043</w:t>
        </w:r>
      </w:hyperlink>
    </w:p>
    <w:p w14:paraId="611E93AE"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Khalique, M., Hina, K., Ramayah, T. and bin Shaari, J.A.N. (2020). “Intellectual capital in tourism SMEs in Azad Jammu and Kashmir, Pakistan,” </w:t>
      </w:r>
      <w:r w:rsidRPr="002C438C">
        <w:rPr>
          <w:i/>
          <w:iCs/>
          <w:sz w:val="24"/>
          <w:szCs w:val="24"/>
        </w:rPr>
        <w:t>Journal of Intellectual Capital</w:t>
      </w:r>
      <w:r w:rsidRPr="002C438C">
        <w:rPr>
          <w:sz w:val="24"/>
          <w:szCs w:val="24"/>
        </w:rPr>
        <w:t xml:space="preserve">, vol. 21 no. 3, pp. 333-355. </w:t>
      </w:r>
      <w:hyperlink r:id="rId21" w:tgtFrame="_blank" w:history="1">
        <w:r w:rsidRPr="002C438C">
          <w:rPr>
            <w:rStyle w:val="Hyperlink"/>
          </w:rPr>
          <w:t>https://doi.org/10.1108/JIC-11-2018-0206</w:t>
        </w:r>
      </w:hyperlink>
    </w:p>
    <w:p w14:paraId="6D14667B"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Landis, J.R., and Koch, G.G. (1977). The measurement of observer agreement for categorical data. </w:t>
      </w:r>
      <w:r w:rsidRPr="002C438C">
        <w:rPr>
          <w:i/>
          <w:iCs/>
          <w:sz w:val="24"/>
          <w:szCs w:val="24"/>
        </w:rPr>
        <w:t>Biometrics</w:t>
      </w:r>
      <w:r w:rsidRPr="002C438C">
        <w:rPr>
          <w:sz w:val="24"/>
          <w:szCs w:val="24"/>
        </w:rPr>
        <w:t xml:space="preserve">, vol. 33 no. 1, pp. 159–174. </w:t>
      </w:r>
      <w:hyperlink r:id="rId22" w:history="1">
        <w:r w:rsidRPr="002C438C">
          <w:rPr>
            <w:rStyle w:val="Hyperlink"/>
          </w:rPr>
          <w:t>https://doi.org/10.2307/2529310</w:t>
        </w:r>
      </w:hyperlink>
      <w:r w:rsidRPr="002C438C">
        <w:rPr>
          <w:sz w:val="24"/>
          <w:szCs w:val="24"/>
        </w:rPr>
        <w:t xml:space="preserve"> </w:t>
      </w:r>
    </w:p>
    <w:p w14:paraId="42AC6895"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Lee, C.C. and Lin, C.K. (2019). “The major determinants of influencing the operating performance from the perspective of intellectual capital: Evidence on CPA industry,” </w:t>
      </w:r>
      <w:r w:rsidRPr="002C438C">
        <w:rPr>
          <w:i/>
          <w:iCs/>
          <w:sz w:val="24"/>
          <w:szCs w:val="24"/>
        </w:rPr>
        <w:t>Asia Pacific Management Review</w:t>
      </w:r>
      <w:r w:rsidRPr="002C438C">
        <w:rPr>
          <w:sz w:val="24"/>
          <w:szCs w:val="24"/>
        </w:rPr>
        <w:t xml:space="preserve">, vol. 24, pp. 124-139. </w:t>
      </w:r>
      <w:hyperlink r:id="rId23" w:tgtFrame="_blank" w:history="1">
        <w:r w:rsidRPr="002C438C">
          <w:rPr>
            <w:rStyle w:val="Hyperlink"/>
          </w:rPr>
          <w:t>https://doi.org/10.1016/j.apmrv.2018.01.006</w:t>
        </w:r>
      </w:hyperlink>
    </w:p>
    <w:p w14:paraId="6B34E52F"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Leon, R.D. (2021). “Intellectual capital and the coronavirus crisis: taking a closer look at restaurants’ strategies,” </w:t>
      </w:r>
      <w:r w:rsidRPr="002C438C">
        <w:rPr>
          <w:i/>
          <w:iCs/>
          <w:sz w:val="24"/>
          <w:szCs w:val="24"/>
        </w:rPr>
        <w:t>Knowledge Management Research &amp; Practice</w:t>
      </w:r>
      <w:r w:rsidRPr="002C438C">
        <w:rPr>
          <w:sz w:val="24"/>
          <w:szCs w:val="24"/>
        </w:rPr>
        <w:t xml:space="preserve">, vol. 19 no. 4, pp. 501-509. </w:t>
      </w:r>
      <w:hyperlink r:id="rId24" w:tgtFrame="_blank" w:history="1">
        <w:r w:rsidRPr="002C438C">
          <w:rPr>
            <w:rStyle w:val="Hyperlink"/>
          </w:rPr>
          <w:t>https://doi.org/10.1080/14778238.2021.1880300</w:t>
        </w:r>
      </w:hyperlink>
    </w:p>
    <w:p w14:paraId="674919BC"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Leon, R.D., Rodriguez-Rodriguez, R. and Alfaro-Saiz, J.J. (2024). “Preparing for Industry 5.0: a methodology for avoiding corporate amnesia,” </w:t>
      </w:r>
      <w:r w:rsidRPr="002C438C">
        <w:rPr>
          <w:i/>
          <w:iCs/>
          <w:sz w:val="24"/>
          <w:szCs w:val="24"/>
        </w:rPr>
        <w:t>Industrial Management &amp; Data Systems</w:t>
      </w:r>
      <w:r w:rsidRPr="002C438C">
        <w:rPr>
          <w:sz w:val="24"/>
          <w:szCs w:val="24"/>
        </w:rPr>
        <w:t xml:space="preserve">, vol. 124 no. 1, pp. 120-139. </w:t>
      </w:r>
      <w:hyperlink r:id="rId25" w:tgtFrame="_blank" w:history="1">
        <w:r w:rsidRPr="002C438C">
          <w:rPr>
            <w:rStyle w:val="Hyperlink"/>
          </w:rPr>
          <w:t>https://doi.org/10.1108/IMDS-03-2023-0159</w:t>
        </w:r>
      </w:hyperlink>
    </w:p>
    <w:p w14:paraId="7A6D1D3B"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Li, Y.-Q. and Liu, C.H.S. (2018). “The role of problem identification and intellectual capital in the management of hotels' competitive advantage - an integrated framework,” </w:t>
      </w:r>
      <w:r w:rsidRPr="002C438C">
        <w:rPr>
          <w:i/>
          <w:iCs/>
          <w:sz w:val="24"/>
          <w:szCs w:val="24"/>
        </w:rPr>
        <w:lastRenderedPageBreak/>
        <w:t>International Journal of Hospitality Management</w:t>
      </w:r>
      <w:r w:rsidRPr="002C438C">
        <w:rPr>
          <w:sz w:val="24"/>
          <w:szCs w:val="24"/>
        </w:rPr>
        <w:t xml:space="preserve">, vol. 75, pp. 160-170. </w:t>
      </w:r>
      <w:hyperlink r:id="rId26" w:tgtFrame="_blank" w:history="1">
        <w:r w:rsidRPr="002C438C">
          <w:rPr>
            <w:rStyle w:val="Hyperlink"/>
          </w:rPr>
          <w:t>https://doi.org/10.1016/j.ijhm.2018.05.022</w:t>
        </w:r>
      </w:hyperlink>
    </w:p>
    <w:p w14:paraId="47075BC4"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Liu, C.-H. and Jiang, J.F. (2020). “Assessing the moderating roles of brand equity, intellectual capital and social capital in Chinese luxury hotels,” </w:t>
      </w:r>
      <w:r w:rsidRPr="002C438C">
        <w:rPr>
          <w:i/>
          <w:iCs/>
          <w:sz w:val="24"/>
          <w:szCs w:val="24"/>
        </w:rPr>
        <w:t>Journal of Hospitality and Tourism Management</w:t>
      </w:r>
      <w:r w:rsidRPr="002C438C">
        <w:rPr>
          <w:sz w:val="24"/>
          <w:szCs w:val="24"/>
        </w:rPr>
        <w:t xml:space="preserve">, vol. 43, pp. 139-148. </w:t>
      </w:r>
      <w:hyperlink r:id="rId27" w:tgtFrame="_blank" w:history="1">
        <w:r w:rsidRPr="002C438C">
          <w:rPr>
            <w:rStyle w:val="Hyperlink"/>
          </w:rPr>
          <w:t>https://doi.org/10.1016/j.jhtm.2020.03.003</w:t>
        </w:r>
      </w:hyperlink>
    </w:p>
    <w:p w14:paraId="00584772"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Liu, C.H. (2017). “The relationships among intellectual capital, social capital, and performance-The moderating role of business ties and environmental uncertainty,” </w:t>
      </w:r>
      <w:r w:rsidRPr="002C438C">
        <w:rPr>
          <w:i/>
          <w:iCs/>
          <w:sz w:val="24"/>
          <w:szCs w:val="24"/>
        </w:rPr>
        <w:t>Tourism Management</w:t>
      </w:r>
      <w:r w:rsidRPr="002C438C">
        <w:rPr>
          <w:sz w:val="24"/>
          <w:szCs w:val="24"/>
        </w:rPr>
        <w:t xml:space="preserve">, vol. 61, pp. 553-561. </w:t>
      </w:r>
      <w:hyperlink r:id="rId28" w:tgtFrame="_blank" w:history="1">
        <w:r w:rsidRPr="002C438C">
          <w:rPr>
            <w:rStyle w:val="Hyperlink"/>
          </w:rPr>
          <w:t>https://doi.org/10.1016/j.tourman.2017.03.017</w:t>
        </w:r>
      </w:hyperlink>
    </w:p>
    <w:p w14:paraId="55B9A0B4"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Martin-de-Castro, G. (2014). “Intellectual capital and the firm: Some remaining questions and prospects,” </w:t>
      </w:r>
      <w:r w:rsidRPr="002C438C">
        <w:rPr>
          <w:i/>
          <w:iCs/>
          <w:sz w:val="24"/>
          <w:szCs w:val="24"/>
        </w:rPr>
        <w:t>Knowledge Management Research &amp; Practice</w:t>
      </w:r>
      <w:r w:rsidRPr="002C438C">
        <w:rPr>
          <w:sz w:val="24"/>
          <w:szCs w:val="24"/>
        </w:rPr>
        <w:t xml:space="preserve">, vol. 12 no. 3, pp. 239-245. </w:t>
      </w:r>
      <w:hyperlink r:id="rId29" w:tgtFrame="_blank" w:history="1">
        <w:r w:rsidRPr="002C438C">
          <w:rPr>
            <w:rStyle w:val="Hyperlink"/>
          </w:rPr>
          <w:t>https://doi.org/10.1057/kmrp.2014.13</w:t>
        </w:r>
      </w:hyperlink>
    </w:p>
    <w:p w14:paraId="4D56ED63"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Martin-de-Castro, G., Delgado-Verde, M., López-Sáez, P. and Navas-López, J.E. (2010). “Towards ‘an intellectual capital-based view of the firm’: Origins and nature,” </w:t>
      </w:r>
      <w:r w:rsidRPr="002C438C">
        <w:rPr>
          <w:i/>
          <w:iCs/>
          <w:sz w:val="24"/>
          <w:szCs w:val="24"/>
        </w:rPr>
        <w:t>Journal of Business Ethics</w:t>
      </w:r>
      <w:r w:rsidRPr="002C438C">
        <w:rPr>
          <w:sz w:val="24"/>
          <w:szCs w:val="24"/>
        </w:rPr>
        <w:t xml:space="preserve">, vol. 98 no. 4, pp. 649–662. </w:t>
      </w:r>
      <w:hyperlink r:id="rId30" w:tgtFrame="_blank" w:history="1">
        <w:r w:rsidRPr="002C438C">
          <w:rPr>
            <w:rStyle w:val="Hyperlink"/>
          </w:rPr>
          <w:t>https://doi.org/10.1007/s10551-010-0644-5</w:t>
        </w:r>
      </w:hyperlink>
    </w:p>
    <w:p w14:paraId="1ADDC895"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Mohapatra, S., Jena, S.K., Mitra, A. and Tiwari, A.K. (2019). “Intellectual capital and firm performance: evidence from Indian banking sector,” </w:t>
      </w:r>
      <w:r w:rsidRPr="002C438C">
        <w:rPr>
          <w:i/>
          <w:iCs/>
          <w:sz w:val="24"/>
          <w:szCs w:val="24"/>
        </w:rPr>
        <w:t>Applied Economics</w:t>
      </w:r>
      <w:r w:rsidRPr="002C438C">
        <w:rPr>
          <w:sz w:val="24"/>
          <w:szCs w:val="24"/>
        </w:rPr>
        <w:t xml:space="preserve">, vol. 51 no. 57, pp. 6054-6067. </w:t>
      </w:r>
      <w:hyperlink r:id="rId31" w:tgtFrame="_blank" w:history="1">
        <w:r w:rsidRPr="002C438C">
          <w:rPr>
            <w:rStyle w:val="Hyperlink"/>
          </w:rPr>
          <w:t>https://doi.org/10.1080/00036846.2019.1645283</w:t>
        </w:r>
      </w:hyperlink>
    </w:p>
    <w:p w14:paraId="4964B8E5"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proofErr w:type="spellStart"/>
      <w:r w:rsidRPr="002C438C">
        <w:rPr>
          <w:sz w:val="24"/>
          <w:szCs w:val="24"/>
        </w:rPr>
        <w:t>Nahavandi</w:t>
      </w:r>
      <w:proofErr w:type="spellEnd"/>
      <w:r w:rsidRPr="002C438C">
        <w:rPr>
          <w:sz w:val="24"/>
          <w:szCs w:val="24"/>
        </w:rPr>
        <w:t xml:space="preserve">, S. (2019). “Industry 5.0 - A human-centric solution”, </w:t>
      </w:r>
      <w:r w:rsidRPr="002C438C">
        <w:rPr>
          <w:i/>
          <w:iCs/>
          <w:sz w:val="24"/>
          <w:szCs w:val="24"/>
        </w:rPr>
        <w:t>Sustainability</w:t>
      </w:r>
      <w:r w:rsidRPr="002C438C">
        <w:rPr>
          <w:sz w:val="24"/>
          <w:szCs w:val="24"/>
        </w:rPr>
        <w:t xml:space="preserve">, vol. 11 no. 16, 4371. </w:t>
      </w:r>
      <w:hyperlink r:id="rId32" w:history="1">
        <w:r w:rsidRPr="002C438C">
          <w:rPr>
            <w:rStyle w:val="Hyperlink"/>
          </w:rPr>
          <w:t>https://doi.org/10.3390/su11164371</w:t>
        </w:r>
      </w:hyperlink>
      <w:r w:rsidRPr="002C438C">
        <w:rPr>
          <w:sz w:val="24"/>
          <w:szCs w:val="24"/>
        </w:rPr>
        <w:t xml:space="preserve"> </w:t>
      </w:r>
    </w:p>
    <w:p w14:paraId="38160EF2"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Nand, A., Sohal, A., Fridman, I., Hussain, S. and Wallace, M. (2023). “An exploratory study of </w:t>
      </w:r>
      <w:proofErr w:type="spellStart"/>
      <w:r w:rsidRPr="002C438C">
        <w:rPr>
          <w:sz w:val="24"/>
          <w:szCs w:val="24"/>
        </w:rPr>
        <w:t>organisational</w:t>
      </w:r>
      <w:proofErr w:type="spellEnd"/>
      <w:r w:rsidRPr="002C438C">
        <w:rPr>
          <w:sz w:val="24"/>
          <w:szCs w:val="24"/>
        </w:rPr>
        <w:t xml:space="preserve"> and industry drivers for the implementation of emerging technologies in logistics,” </w:t>
      </w:r>
      <w:r w:rsidRPr="002C438C">
        <w:rPr>
          <w:i/>
          <w:iCs/>
          <w:sz w:val="24"/>
          <w:szCs w:val="24"/>
        </w:rPr>
        <w:t>Industrial Management &amp; Data Systems</w:t>
      </w:r>
      <w:r w:rsidRPr="002C438C">
        <w:rPr>
          <w:sz w:val="24"/>
          <w:szCs w:val="24"/>
        </w:rPr>
        <w:t xml:space="preserve">, vol. 123 no. 5, pp. 1418-1439. </w:t>
      </w:r>
      <w:hyperlink r:id="rId33" w:tgtFrame="_blank" w:history="1">
        <w:r w:rsidRPr="002C438C">
          <w:rPr>
            <w:rStyle w:val="Hyperlink"/>
          </w:rPr>
          <w:t>https://doi.org/10.1108/IMDS-08-2022-0467</w:t>
        </w:r>
      </w:hyperlink>
    </w:p>
    <w:p w14:paraId="41482704"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National Institute of Statistics (2023). Statistical data. Available at  </w:t>
      </w:r>
      <w:hyperlink r:id="rId34" w:anchor="/pages/tables/insse-table" w:history="1">
        <w:r w:rsidRPr="002C438C">
          <w:rPr>
            <w:rStyle w:val="Hyperlink"/>
          </w:rPr>
          <w:t>http://statistici.insse.ro:8077/tempo-online/#/pages/tables/insse-table</w:t>
        </w:r>
      </w:hyperlink>
      <w:r w:rsidRPr="002C438C">
        <w:rPr>
          <w:sz w:val="24"/>
          <w:szCs w:val="24"/>
        </w:rPr>
        <w:t xml:space="preserve">. </w:t>
      </w:r>
    </w:p>
    <w:p w14:paraId="080D9AC6"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Rienda, L., </w:t>
      </w:r>
      <w:proofErr w:type="spellStart"/>
      <w:r w:rsidRPr="002C438C">
        <w:rPr>
          <w:sz w:val="24"/>
          <w:szCs w:val="24"/>
        </w:rPr>
        <w:t>Claver</w:t>
      </w:r>
      <w:proofErr w:type="spellEnd"/>
      <w:r w:rsidRPr="002C438C">
        <w:rPr>
          <w:sz w:val="24"/>
          <w:szCs w:val="24"/>
        </w:rPr>
        <w:t xml:space="preserve">, E. and Andreu, R. (2020). “Family involvement, </w:t>
      </w:r>
      <w:proofErr w:type="spellStart"/>
      <w:r w:rsidRPr="002C438C">
        <w:rPr>
          <w:sz w:val="24"/>
          <w:szCs w:val="24"/>
        </w:rPr>
        <w:t>internationalisation</w:t>
      </w:r>
      <w:proofErr w:type="spellEnd"/>
      <w:r w:rsidRPr="002C438C">
        <w:rPr>
          <w:sz w:val="24"/>
          <w:szCs w:val="24"/>
        </w:rPr>
        <w:t xml:space="preserve"> and performance: An empirical study of the Spanish hotel industry,” </w:t>
      </w:r>
      <w:r w:rsidRPr="002C438C">
        <w:rPr>
          <w:i/>
          <w:iCs/>
          <w:sz w:val="24"/>
          <w:szCs w:val="24"/>
        </w:rPr>
        <w:t>Journal of Hospitality and Tourism Management</w:t>
      </w:r>
      <w:r w:rsidRPr="002C438C">
        <w:rPr>
          <w:sz w:val="24"/>
          <w:szCs w:val="24"/>
        </w:rPr>
        <w:t xml:space="preserve">, vol. 42, pp. 173–180. </w:t>
      </w:r>
      <w:hyperlink r:id="rId35" w:tgtFrame="_blank" w:history="1">
        <w:r w:rsidRPr="002C438C">
          <w:rPr>
            <w:rStyle w:val="Hyperlink"/>
          </w:rPr>
          <w:t>https://doi.org/10.1016/j.jhtm.2020.01.002</w:t>
        </w:r>
      </w:hyperlink>
    </w:p>
    <w:p w14:paraId="0CF75B00"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Romero, I. and Tejada, P. (2020). “Tourism intermediaries and innovation in the hotel industry,” </w:t>
      </w:r>
      <w:r w:rsidRPr="002C438C">
        <w:rPr>
          <w:i/>
          <w:iCs/>
          <w:sz w:val="24"/>
          <w:szCs w:val="24"/>
        </w:rPr>
        <w:t>Current Issues in Tourism</w:t>
      </w:r>
      <w:r w:rsidRPr="002C438C">
        <w:rPr>
          <w:sz w:val="24"/>
          <w:szCs w:val="24"/>
        </w:rPr>
        <w:t xml:space="preserve">, vol. 23 no. 5, pp. 641-653. </w:t>
      </w:r>
      <w:hyperlink r:id="rId36" w:tgtFrame="_blank" w:history="1">
        <w:r w:rsidRPr="002C438C">
          <w:rPr>
            <w:rStyle w:val="Hyperlink"/>
          </w:rPr>
          <w:t>https://doi.org/10.1080/13683500.2019.1572717</w:t>
        </w:r>
      </w:hyperlink>
    </w:p>
    <w:p w14:paraId="086AC3E7"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Sardo, F., </w:t>
      </w:r>
      <w:proofErr w:type="spellStart"/>
      <w:r w:rsidRPr="002C438C">
        <w:rPr>
          <w:sz w:val="24"/>
          <w:szCs w:val="24"/>
        </w:rPr>
        <w:t>Serrasqueiro</w:t>
      </w:r>
      <w:proofErr w:type="spellEnd"/>
      <w:r w:rsidRPr="002C438C">
        <w:rPr>
          <w:sz w:val="24"/>
          <w:szCs w:val="24"/>
        </w:rPr>
        <w:t xml:space="preserve">, Z. and Alves, H. (2018). “On the relationship between intellectual capital and financial performance: A panel data analysis on SME hotels,” </w:t>
      </w:r>
      <w:r w:rsidRPr="002C438C">
        <w:rPr>
          <w:i/>
          <w:iCs/>
          <w:sz w:val="24"/>
          <w:szCs w:val="24"/>
        </w:rPr>
        <w:t>International Journal of Hospitality Management</w:t>
      </w:r>
      <w:r w:rsidRPr="002C438C">
        <w:rPr>
          <w:sz w:val="24"/>
          <w:szCs w:val="24"/>
        </w:rPr>
        <w:t xml:space="preserve">, vol. 75, pp. 67-74. </w:t>
      </w:r>
      <w:hyperlink r:id="rId37" w:tgtFrame="_blank" w:history="1">
        <w:r w:rsidRPr="002C438C">
          <w:rPr>
            <w:rStyle w:val="Hyperlink"/>
          </w:rPr>
          <w:t>https://doi.org/10.1016/j.ijhm.2018.03.001</w:t>
        </w:r>
      </w:hyperlink>
      <w:r w:rsidRPr="002C438C">
        <w:rPr>
          <w:sz w:val="24"/>
          <w:szCs w:val="24"/>
        </w:rPr>
        <w:t xml:space="preserve"> </w:t>
      </w:r>
    </w:p>
    <w:p w14:paraId="02EA318A"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proofErr w:type="spellStart"/>
      <w:r w:rsidRPr="002C438C">
        <w:rPr>
          <w:sz w:val="24"/>
          <w:szCs w:val="24"/>
        </w:rPr>
        <w:t>Temouri</w:t>
      </w:r>
      <w:proofErr w:type="spellEnd"/>
      <w:r w:rsidRPr="002C438C">
        <w:rPr>
          <w:sz w:val="24"/>
          <w:szCs w:val="24"/>
        </w:rPr>
        <w:t xml:space="preserve">, Y., Pereira, V., Muschert, G.W., Ramiah, V. and Babula, M. (2021). “How does cluster location and intellectual capital impact entrepreneurial success within high-growth </w:t>
      </w:r>
      <w:proofErr w:type="gramStart"/>
      <w:r w:rsidRPr="002C438C">
        <w:rPr>
          <w:sz w:val="24"/>
          <w:szCs w:val="24"/>
        </w:rPr>
        <w:t>firms?,</w:t>
      </w:r>
      <w:proofErr w:type="gramEnd"/>
      <w:r w:rsidRPr="002C438C">
        <w:rPr>
          <w:sz w:val="24"/>
          <w:szCs w:val="24"/>
        </w:rPr>
        <w:t xml:space="preserve">” </w:t>
      </w:r>
      <w:r w:rsidRPr="002C438C">
        <w:rPr>
          <w:i/>
          <w:iCs/>
          <w:sz w:val="24"/>
          <w:szCs w:val="24"/>
        </w:rPr>
        <w:t>Journal of Intellectual Capital</w:t>
      </w:r>
      <w:r w:rsidRPr="002C438C">
        <w:rPr>
          <w:sz w:val="24"/>
          <w:szCs w:val="24"/>
        </w:rPr>
        <w:t xml:space="preserve">, vol. 22 no. 1, pp. 171-189. </w:t>
      </w:r>
      <w:hyperlink r:id="rId38" w:tgtFrame="_blank" w:history="1">
        <w:r w:rsidRPr="002C438C">
          <w:rPr>
            <w:rStyle w:val="Hyperlink"/>
          </w:rPr>
          <w:t>https://doi.org/10.1108/JIC-02-2020-0066</w:t>
        </w:r>
      </w:hyperlink>
    </w:p>
    <w:p w14:paraId="6D7B2C95"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Tsai, F.J., Hu, Y.J., Chen, C.Y., Yeh, G.L., Tseng, C.C. and Chen, S.C. (2019). “Simulated directed-learning in life-education intervention on the meaning of life, positive beliefs, and well-being among nursing students: A Quasi-experimental study,” </w:t>
      </w:r>
      <w:r w:rsidRPr="002C438C">
        <w:rPr>
          <w:i/>
          <w:iCs/>
          <w:sz w:val="24"/>
          <w:szCs w:val="24"/>
        </w:rPr>
        <w:t>Medicine</w:t>
      </w:r>
      <w:r w:rsidRPr="002C438C">
        <w:rPr>
          <w:sz w:val="24"/>
          <w:szCs w:val="24"/>
        </w:rPr>
        <w:t xml:space="preserve">, vol. 98 no. 27, e16330. </w:t>
      </w:r>
      <w:hyperlink r:id="rId39" w:tgtFrame="_blank" w:history="1">
        <w:r w:rsidRPr="002C438C">
          <w:rPr>
            <w:rStyle w:val="Hyperlink"/>
          </w:rPr>
          <w:t>https://doi.org/10.1097/MD.0000000000016330</w:t>
        </w:r>
      </w:hyperlink>
    </w:p>
    <w:p w14:paraId="296A4BD7"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lastRenderedPageBreak/>
        <w:t xml:space="preserve">Wooldridge, J.M. (2010). </w:t>
      </w:r>
      <w:r w:rsidRPr="002C438C">
        <w:rPr>
          <w:i/>
          <w:iCs/>
          <w:sz w:val="24"/>
          <w:szCs w:val="24"/>
        </w:rPr>
        <w:t>Econometric analysis of cross section and panel data</w:t>
      </w:r>
      <w:r w:rsidRPr="002C438C">
        <w:rPr>
          <w:sz w:val="24"/>
          <w:szCs w:val="24"/>
        </w:rPr>
        <w:t xml:space="preserve"> (2nd ed.). London, UK: MIT Press.</w:t>
      </w:r>
    </w:p>
    <w:p w14:paraId="6DEC3D50"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Xu, J. and Wang, B. (2018). “Intellectual capital, financial performance and companies’ sustainable growth: Evidence from the Korean manufacturing industry,” </w:t>
      </w:r>
      <w:r w:rsidRPr="002C438C">
        <w:rPr>
          <w:i/>
          <w:iCs/>
          <w:sz w:val="24"/>
          <w:szCs w:val="24"/>
        </w:rPr>
        <w:t>Sustainability</w:t>
      </w:r>
      <w:r w:rsidRPr="002C438C">
        <w:rPr>
          <w:sz w:val="24"/>
          <w:szCs w:val="24"/>
        </w:rPr>
        <w:t xml:space="preserve">, vol. 10 no. 12, 4651. </w:t>
      </w:r>
      <w:hyperlink r:id="rId40" w:tgtFrame="_blank" w:history="1">
        <w:r w:rsidRPr="002C438C">
          <w:rPr>
            <w:rStyle w:val="Hyperlink"/>
          </w:rPr>
          <w:t>https://doi.org/10.3390/su10124651</w:t>
        </w:r>
      </w:hyperlink>
    </w:p>
    <w:p w14:paraId="1AF90779" w14:textId="77777777" w:rsidR="002C438C" w:rsidRPr="002C438C" w:rsidRDefault="002C438C" w:rsidP="002C438C">
      <w:pPr>
        <w:pStyle w:val="References"/>
        <w:numPr>
          <w:ilvl w:val="0"/>
          <w:numId w:val="0"/>
        </w:numPr>
        <w:shd w:val="clear" w:color="auto" w:fill="FFFFFF"/>
        <w:spacing w:before="0" w:after="120"/>
        <w:ind w:left="360" w:hanging="360"/>
        <w:rPr>
          <w:sz w:val="24"/>
          <w:szCs w:val="24"/>
        </w:rPr>
      </w:pPr>
      <w:r w:rsidRPr="002C438C">
        <w:rPr>
          <w:sz w:val="24"/>
          <w:szCs w:val="24"/>
        </w:rPr>
        <w:t xml:space="preserve">Xu, X., Lu, Y., Vogel-Heuser, B. and Wang, L. (2021). “Industry 4.0 and Industry 5.0 -Inception, conception and perception”, </w:t>
      </w:r>
      <w:r w:rsidRPr="002C438C">
        <w:rPr>
          <w:i/>
          <w:iCs/>
          <w:sz w:val="24"/>
          <w:szCs w:val="24"/>
        </w:rPr>
        <w:t>Journal of Manufacturing Systems</w:t>
      </w:r>
      <w:r w:rsidRPr="002C438C">
        <w:rPr>
          <w:sz w:val="24"/>
          <w:szCs w:val="24"/>
        </w:rPr>
        <w:t xml:space="preserve">, vol. 61, pp. 530-535. </w:t>
      </w:r>
      <w:hyperlink r:id="rId41" w:history="1">
        <w:r w:rsidRPr="002C438C">
          <w:rPr>
            <w:rStyle w:val="Hyperlink"/>
          </w:rPr>
          <w:t>https://doi.org/10.1016/j.jmsy.2021.10.006</w:t>
        </w:r>
      </w:hyperlink>
      <w:r w:rsidRPr="002C438C">
        <w:rPr>
          <w:sz w:val="24"/>
          <w:szCs w:val="24"/>
        </w:rPr>
        <w:t xml:space="preserve"> </w:t>
      </w:r>
    </w:p>
    <w:p w14:paraId="2DF369FC" w14:textId="34485D66" w:rsidR="002C438C" w:rsidRPr="002C438C" w:rsidRDefault="002C438C" w:rsidP="002C438C">
      <w:pPr>
        <w:pStyle w:val="References"/>
        <w:numPr>
          <w:ilvl w:val="0"/>
          <w:numId w:val="0"/>
        </w:numPr>
        <w:shd w:val="clear" w:color="auto" w:fill="FFFFFF"/>
        <w:spacing w:before="0" w:after="120"/>
        <w:ind w:left="360" w:hanging="360"/>
        <w:rPr>
          <w:sz w:val="24"/>
        </w:rPr>
      </w:pPr>
      <w:r w:rsidRPr="002C438C">
        <w:rPr>
          <w:sz w:val="24"/>
          <w:szCs w:val="24"/>
        </w:rPr>
        <w:t xml:space="preserve">Youndt, M.A., Subramaniam, M. and Snell, S.A. (2004). “Intellectual capital profiles: An examination of investments and returns”, </w:t>
      </w:r>
      <w:r w:rsidRPr="002C438C">
        <w:rPr>
          <w:i/>
          <w:iCs/>
          <w:sz w:val="24"/>
          <w:szCs w:val="24"/>
        </w:rPr>
        <w:t>Journal of Management Studies</w:t>
      </w:r>
      <w:r w:rsidRPr="002C438C">
        <w:rPr>
          <w:sz w:val="24"/>
          <w:szCs w:val="24"/>
        </w:rPr>
        <w:t xml:space="preserve">, vol. 41 no. 2, pp. 335–362. </w:t>
      </w:r>
      <w:hyperlink r:id="rId42" w:tgtFrame="_blank" w:history="1">
        <w:r w:rsidRPr="002C438C">
          <w:rPr>
            <w:rStyle w:val="Hyperlink"/>
          </w:rPr>
          <w:t>https://doi.org/10.1111/j.1467-6486.2004.00435.x</w:t>
        </w:r>
      </w:hyperlink>
    </w:p>
    <w:sectPr w:rsidR="002C438C" w:rsidRPr="002C438C" w:rsidSect="006A0927">
      <w:headerReference w:type="default" r:id="rId43"/>
      <w:footerReference w:type="default" r:id="rId44"/>
      <w:headerReference w:type="first" r:id="rId45"/>
      <w:pgSz w:w="11906" w:h="16838" w:code="9"/>
      <w:pgMar w:top="1440" w:right="1440" w:bottom="1440" w:left="1440" w:header="454" w:footer="567"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D5FC" w14:textId="77777777" w:rsidR="00B262DB" w:rsidRDefault="00B262DB" w:rsidP="001718A7">
      <w:pPr>
        <w:spacing w:after="0" w:line="240" w:lineRule="auto"/>
      </w:pPr>
      <w:r>
        <w:separator/>
      </w:r>
    </w:p>
  </w:endnote>
  <w:endnote w:type="continuationSeparator" w:id="0">
    <w:p w14:paraId="30533532" w14:textId="77777777" w:rsidR="00B262DB" w:rsidRDefault="00B262DB" w:rsidP="0017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07642"/>
      <w:docPartObj>
        <w:docPartGallery w:val="Page Numbers (Bottom of Page)"/>
        <w:docPartUnique/>
      </w:docPartObj>
    </w:sdtPr>
    <w:sdtEndPr>
      <w:rPr>
        <w:noProof/>
      </w:rPr>
    </w:sdtEndPr>
    <w:sdtContent>
      <w:p w14:paraId="2FA156ED" w14:textId="77777777" w:rsidR="001718A7" w:rsidRDefault="001718A7" w:rsidP="00877BEC">
        <w:pPr>
          <w:pStyle w:val="Footer"/>
          <w:jc w:val="center"/>
        </w:pPr>
        <w:r w:rsidRPr="00877BEC">
          <w:rPr>
            <w:rFonts w:asciiTheme="majorBidi" w:hAnsiTheme="majorBidi" w:cstheme="majorBidi"/>
          </w:rPr>
          <w:fldChar w:fldCharType="begin"/>
        </w:r>
        <w:r w:rsidRPr="00877BEC">
          <w:rPr>
            <w:rFonts w:asciiTheme="majorBidi" w:hAnsiTheme="majorBidi" w:cstheme="majorBidi"/>
          </w:rPr>
          <w:instrText xml:space="preserve"> PAGE   \* MERGEFORMAT </w:instrText>
        </w:r>
        <w:r w:rsidRPr="00877BEC">
          <w:rPr>
            <w:rFonts w:asciiTheme="majorBidi" w:hAnsiTheme="majorBidi" w:cstheme="majorBidi"/>
          </w:rPr>
          <w:fldChar w:fldCharType="separate"/>
        </w:r>
        <w:r w:rsidR="00877BEC">
          <w:rPr>
            <w:rFonts w:asciiTheme="majorBidi" w:hAnsiTheme="majorBidi" w:cstheme="majorBidi"/>
            <w:noProof/>
          </w:rPr>
          <w:t>41</w:t>
        </w:r>
        <w:r w:rsidRPr="00877BEC">
          <w:rPr>
            <w:rFonts w:asciiTheme="majorBidi" w:hAnsiTheme="majorBidi" w:cstheme="majorBid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4965" w14:textId="77777777" w:rsidR="00B262DB" w:rsidRDefault="00B262DB" w:rsidP="001718A7">
      <w:pPr>
        <w:spacing w:after="0" w:line="240" w:lineRule="auto"/>
      </w:pPr>
      <w:r>
        <w:separator/>
      </w:r>
    </w:p>
  </w:footnote>
  <w:footnote w:type="continuationSeparator" w:id="0">
    <w:p w14:paraId="7217842D" w14:textId="77777777" w:rsidR="00B262DB" w:rsidRDefault="00B262DB" w:rsidP="00171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174B" w14:textId="167192F3" w:rsidR="00F739EC" w:rsidRPr="00F739EC" w:rsidRDefault="008F7229" w:rsidP="00F739EC">
    <w:pPr>
      <w:pStyle w:val="Header"/>
      <w:spacing w:before="160"/>
      <w:jc w:val="center"/>
      <w:rPr>
        <w:rFonts w:asciiTheme="majorBidi" w:hAnsiTheme="majorBidi" w:cstheme="majorBidi"/>
        <w:i/>
        <w:iCs/>
      </w:rPr>
    </w:pPr>
    <w:proofErr w:type="spellStart"/>
    <w:r w:rsidRPr="008F7229">
      <w:rPr>
        <w:rFonts w:asciiTheme="majorBidi" w:hAnsiTheme="majorBidi" w:cstheme="majorBidi"/>
        <w:i/>
        <w:iCs/>
      </w:rPr>
      <w:t>Mubaraz</w:t>
    </w:r>
    <w:proofErr w:type="spellEnd"/>
    <w:r w:rsidR="00427E7B" w:rsidRPr="00427E7B">
      <w:rPr>
        <w:rFonts w:asciiTheme="majorBidi" w:hAnsiTheme="majorBidi" w:cstheme="majorBidi"/>
        <w:i/>
        <w:iCs/>
      </w:rPr>
      <w:t xml:space="preserve"> </w:t>
    </w:r>
    <w:r w:rsidR="00F739EC" w:rsidRPr="00F739EC">
      <w:rPr>
        <w:rFonts w:asciiTheme="majorBidi" w:hAnsiTheme="majorBidi" w:cstheme="majorBidi"/>
        <w:i/>
        <w:iCs/>
      </w:rPr>
      <w:t xml:space="preserve">et al. / </w:t>
    </w:r>
    <w:r w:rsidRPr="008F7229">
      <w:rPr>
        <w:rFonts w:asciiTheme="majorBidi" w:hAnsiTheme="majorBidi" w:cstheme="majorBidi"/>
        <w:i/>
        <w:iCs/>
      </w:rPr>
      <w:t xml:space="preserve">Opportunities and Challenges of Implementing Industry 4.0 Technologies in </w:t>
    </w:r>
    <w:r>
      <w:rPr>
        <w:rFonts w:asciiTheme="majorBidi" w:hAnsiTheme="majorBidi" w:cstheme="majorBidi"/>
        <w:i/>
        <w:iC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AE1A" w14:textId="77777777" w:rsidR="00F739EC" w:rsidRPr="005E153C" w:rsidRDefault="00F739EC" w:rsidP="00F739EC">
    <w:pPr>
      <w:tabs>
        <w:tab w:val="center" w:pos="4536"/>
        <w:tab w:val="right" w:pos="9072"/>
      </w:tabs>
      <w:autoSpaceDE w:val="0"/>
      <w:autoSpaceDN w:val="0"/>
      <w:spacing w:after="0" w:line="240" w:lineRule="auto"/>
      <w:ind w:firstLine="284"/>
      <w:jc w:val="both"/>
      <w:rPr>
        <w:rFonts w:ascii="Times New Roman" w:eastAsia="Times New Roman" w:hAnsi="Times New Roman" w:cs="Times New Roman"/>
        <w:lang w:eastAsia="cs-CZ"/>
      </w:rPr>
    </w:pPr>
  </w:p>
  <w:tbl>
    <w:tblPr>
      <w:tblStyle w:val="TableGrid1"/>
      <w:tblW w:w="1034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402"/>
    </w:tblGrid>
    <w:tr w:rsidR="00F739EC" w:rsidRPr="005E153C" w14:paraId="0380D43C" w14:textId="77777777" w:rsidTr="006209C3">
      <w:trPr>
        <w:jc w:val="center"/>
      </w:trPr>
      <w:tc>
        <w:tcPr>
          <w:tcW w:w="6946" w:type="dxa"/>
        </w:tcPr>
        <w:p w14:paraId="6E40071D" w14:textId="77777777" w:rsidR="00F739EC" w:rsidRPr="005E153C" w:rsidRDefault="00F739EC" w:rsidP="00F739EC">
          <w:pPr>
            <w:autoSpaceDE w:val="0"/>
            <w:autoSpaceDN w:val="0"/>
            <w:adjustRightInd w:val="0"/>
            <w:rPr>
              <w:sz w:val="18"/>
              <w:szCs w:val="18"/>
              <w:lang w:eastAsia="cs-CZ"/>
            </w:rPr>
          </w:pPr>
        </w:p>
        <w:p w14:paraId="295DE46A" w14:textId="7F205F5C" w:rsidR="00F739EC" w:rsidRPr="005E153C" w:rsidRDefault="00F739EC" w:rsidP="00317218">
          <w:pPr>
            <w:autoSpaceDE w:val="0"/>
            <w:autoSpaceDN w:val="0"/>
            <w:adjustRightInd w:val="0"/>
            <w:rPr>
              <w:rFonts w:eastAsia="Calibri" w:cs="Arial"/>
              <w:sz w:val="18"/>
              <w:szCs w:val="18"/>
              <w:lang w:eastAsia="cs-CZ"/>
            </w:rPr>
          </w:pPr>
          <w:r w:rsidRPr="005E153C">
            <w:rPr>
              <w:rFonts w:eastAsia="Calibri" w:cs="Arial"/>
              <w:sz w:val="18"/>
              <w:szCs w:val="18"/>
              <w:lang w:eastAsia="cs-CZ"/>
            </w:rPr>
            <w:t>*Corresponding Author’</w:t>
          </w:r>
          <w:r w:rsidR="00317218">
            <w:rPr>
              <w:rFonts w:eastAsia="Calibri" w:cs="Arial"/>
              <w:sz w:val="18"/>
              <w:szCs w:val="18"/>
              <w:lang w:eastAsia="cs-CZ"/>
            </w:rPr>
            <w:t>s</w:t>
          </w:r>
          <w:r w:rsidRPr="005E153C">
            <w:rPr>
              <w:rFonts w:eastAsia="Calibri" w:cs="Arial"/>
              <w:sz w:val="18"/>
              <w:szCs w:val="18"/>
              <w:lang w:eastAsia="cs-CZ"/>
            </w:rPr>
            <w:t xml:space="preserve"> Email: </w:t>
          </w:r>
          <w:r w:rsidR="006A0927" w:rsidRPr="006A0927">
            <w:rPr>
              <w:rFonts w:eastAsia="Calibri" w:cs="Arial"/>
              <w:sz w:val="18"/>
              <w:szCs w:val="18"/>
              <w:lang w:eastAsia="cs-CZ"/>
            </w:rPr>
            <w:t>syed.mubaraz@tuni.fi</w:t>
          </w:r>
          <w:r w:rsidR="006A0927">
            <w:rPr>
              <w:rFonts w:eastAsia="Calibri" w:cs="Arial"/>
              <w:sz w:val="18"/>
              <w:szCs w:val="18"/>
              <w:lang w:eastAsia="cs-CZ"/>
            </w:rPr>
            <w:t xml:space="preserve">, </w:t>
          </w:r>
          <w:hyperlink r:id="rId1" w:history="1">
            <w:r w:rsidR="006A0927" w:rsidRPr="006A0927">
              <w:rPr>
                <w:rStyle w:val="Hyperlink"/>
                <w:rFonts w:eastAsia="Calibri" w:cs="Arial"/>
                <w:sz w:val="18"/>
                <w:szCs w:val="18"/>
                <w:lang w:eastAsia="cs-CZ"/>
              </w:rPr>
              <w:t>https://orcid.org/0009-0007-6861-6206</w:t>
            </w:r>
          </w:hyperlink>
        </w:p>
        <w:p w14:paraId="12107A2C" w14:textId="77777777" w:rsidR="00F739EC" w:rsidRPr="005E153C" w:rsidRDefault="00F739EC" w:rsidP="00F739EC">
          <w:pPr>
            <w:tabs>
              <w:tab w:val="center" w:pos="4536"/>
              <w:tab w:val="right" w:pos="9072"/>
            </w:tabs>
            <w:autoSpaceDE w:val="0"/>
            <w:autoSpaceDN w:val="0"/>
            <w:rPr>
              <w:rFonts w:eastAsia="Calibri" w:cs="Arial"/>
              <w:sz w:val="18"/>
              <w:szCs w:val="18"/>
              <w:lang w:eastAsia="cs-CZ"/>
            </w:rPr>
          </w:pPr>
          <w:r w:rsidRPr="005E153C">
            <w:rPr>
              <w:rFonts w:eastAsia="Calibri" w:cs="Arial"/>
              <w:sz w:val="18"/>
              <w:szCs w:val="18"/>
              <w:lang w:eastAsia="cs-CZ"/>
            </w:rPr>
            <w:t>Proceedings of the International Conference on Business, Management and Economics</w:t>
          </w:r>
        </w:p>
        <w:p w14:paraId="1D2B9E49" w14:textId="1723DC70" w:rsidR="00F739EC" w:rsidRPr="005E153C" w:rsidRDefault="00F739EC" w:rsidP="00877BEC">
          <w:pPr>
            <w:tabs>
              <w:tab w:val="center" w:pos="4536"/>
              <w:tab w:val="right" w:pos="9072"/>
            </w:tabs>
            <w:autoSpaceDE w:val="0"/>
            <w:autoSpaceDN w:val="0"/>
            <w:rPr>
              <w:rFonts w:eastAsia="Calibri" w:cs="Arial"/>
              <w:sz w:val="18"/>
              <w:szCs w:val="18"/>
              <w:lang w:eastAsia="cs-CZ"/>
            </w:rPr>
          </w:pPr>
          <w:r w:rsidRPr="005E153C">
            <w:rPr>
              <w:rFonts w:eastAsia="Calibri" w:cs="Arial"/>
              <w:sz w:val="18"/>
              <w:szCs w:val="18"/>
              <w:lang w:eastAsia="cs-CZ"/>
            </w:rPr>
            <w:t xml:space="preserve">Vol. </w:t>
          </w:r>
          <w:r w:rsidR="00427E7B">
            <w:rPr>
              <w:rFonts w:eastAsia="Calibri" w:cs="Arial" w:hint="cs"/>
              <w:sz w:val="18"/>
              <w:szCs w:val="18"/>
              <w:rtl/>
              <w:lang w:eastAsia="cs-CZ"/>
            </w:rPr>
            <w:t>2</w:t>
          </w:r>
          <w:r w:rsidRPr="005E153C">
            <w:rPr>
              <w:rFonts w:eastAsia="Calibri" w:cs="Arial"/>
              <w:sz w:val="18"/>
              <w:szCs w:val="18"/>
              <w:lang w:eastAsia="cs-CZ"/>
            </w:rPr>
            <w:t>, Issue. 1, 202</w:t>
          </w:r>
          <w:r w:rsidR="00427E7B">
            <w:rPr>
              <w:rFonts w:eastAsia="Calibri" w:cs="Arial" w:hint="cs"/>
              <w:sz w:val="18"/>
              <w:szCs w:val="18"/>
              <w:rtl/>
              <w:lang w:eastAsia="cs-CZ"/>
            </w:rPr>
            <w:t>5</w:t>
          </w:r>
          <w:r w:rsidRPr="005E153C">
            <w:rPr>
              <w:rFonts w:eastAsia="Calibri" w:cs="Arial"/>
              <w:sz w:val="18"/>
              <w:szCs w:val="18"/>
              <w:lang w:eastAsia="cs-CZ"/>
            </w:rPr>
            <w:t xml:space="preserve">, pp. </w:t>
          </w:r>
          <w:r w:rsidR="006A0927">
            <w:rPr>
              <w:rFonts w:eastAsia="Calibri" w:cs="Arial"/>
              <w:sz w:val="18"/>
              <w:szCs w:val="18"/>
              <w:lang w:eastAsia="cs-CZ"/>
            </w:rPr>
            <w:t>36</w:t>
          </w:r>
          <w:r w:rsidRPr="005E153C">
            <w:rPr>
              <w:rFonts w:eastAsia="Calibri" w:cs="Arial"/>
              <w:sz w:val="18"/>
              <w:szCs w:val="18"/>
              <w:lang w:eastAsia="cs-CZ"/>
            </w:rPr>
            <w:t>-</w:t>
          </w:r>
          <w:r w:rsidR="006A0927">
            <w:rPr>
              <w:rFonts w:eastAsia="Calibri" w:cs="Arial"/>
              <w:sz w:val="18"/>
              <w:szCs w:val="18"/>
              <w:lang w:eastAsia="cs-CZ"/>
            </w:rPr>
            <w:t>54</w:t>
          </w:r>
        </w:p>
        <w:p w14:paraId="2D64281E" w14:textId="5E45A11A" w:rsidR="00F739EC" w:rsidRPr="008F7229" w:rsidRDefault="00F739EC" w:rsidP="00F739EC">
          <w:pPr>
            <w:tabs>
              <w:tab w:val="center" w:pos="4536"/>
              <w:tab w:val="right" w:pos="9072"/>
            </w:tabs>
            <w:autoSpaceDE w:val="0"/>
            <w:autoSpaceDN w:val="0"/>
            <w:rPr>
              <w:rFonts w:eastAsia="Calibri"/>
              <w:sz w:val="18"/>
              <w:szCs w:val="18"/>
              <w:lang w:eastAsia="cs-CZ"/>
            </w:rPr>
          </w:pPr>
          <w:r w:rsidRPr="00427E7B">
            <w:rPr>
              <w:rFonts w:eastAsia="Calibri"/>
              <w:sz w:val="18"/>
              <w:szCs w:val="18"/>
              <w:lang w:eastAsia="cs-CZ"/>
            </w:rPr>
            <w:t xml:space="preserve">DOI: </w:t>
          </w:r>
          <w:hyperlink r:id="rId2" w:history="1">
            <w:r w:rsidR="006A0927" w:rsidRPr="008F7229">
              <w:rPr>
                <w:rStyle w:val="Hyperlink"/>
                <w:rFonts w:eastAsia="Calibri"/>
                <w:sz w:val="18"/>
                <w:szCs w:val="18"/>
                <w:lang w:eastAsia="cs-CZ"/>
              </w:rPr>
              <w:t>https://doi.org/10.33422/icbmeconf.v</w:t>
            </w:r>
            <w:r w:rsidR="006A0927" w:rsidRPr="008F7229">
              <w:rPr>
                <w:rStyle w:val="Hyperlink"/>
                <w:rFonts w:eastAsia="Calibri" w:hint="cs"/>
                <w:sz w:val="18"/>
                <w:szCs w:val="18"/>
                <w:rtl/>
                <w:lang w:eastAsia="cs-CZ"/>
              </w:rPr>
              <w:t>2</w:t>
            </w:r>
            <w:r w:rsidR="006A0927" w:rsidRPr="008F7229">
              <w:rPr>
                <w:rStyle w:val="Hyperlink"/>
                <w:rFonts w:eastAsia="Calibri"/>
                <w:sz w:val="18"/>
                <w:szCs w:val="18"/>
                <w:lang w:eastAsia="cs-CZ"/>
              </w:rPr>
              <w:t>i1.</w:t>
            </w:r>
            <w:r w:rsidR="006A0927" w:rsidRPr="008F7229">
              <w:rPr>
                <w:rStyle w:val="Hyperlink"/>
                <w:rFonts w:eastAsia="Calibri" w:hint="cs"/>
                <w:sz w:val="18"/>
                <w:szCs w:val="18"/>
                <w:rtl/>
                <w:lang w:eastAsia="cs-CZ"/>
              </w:rPr>
              <w:t>1</w:t>
            </w:r>
            <w:r w:rsidR="006A0927" w:rsidRPr="008F7229">
              <w:rPr>
                <w:rStyle w:val="Hyperlink"/>
                <w:rFonts w:eastAsia="Calibri"/>
                <w:sz w:val="18"/>
                <w:szCs w:val="18"/>
                <w:lang w:eastAsia="cs-CZ"/>
              </w:rPr>
              <w:t xml:space="preserve">453 </w:t>
            </w:r>
          </w:hyperlink>
        </w:p>
        <w:p w14:paraId="7663D951" w14:textId="6BA3F218" w:rsidR="00F739EC" w:rsidRPr="005E153C" w:rsidRDefault="00F739EC" w:rsidP="00F739EC">
          <w:pPr>
            <w:tabs>
              <w:tab w:val="center" w:pos="4536"/>
              <w:tab w:val="right" w:pos="9072"/>
            </w:tabs>
            <w:autoSpaceDE w:val="0"/>
            <w:autoSpaceDN w:val="0"/>
            <w:rPr>
              <w:rFonts w:eastAsia="Calibri" w:cs="Arial"/>
              <w:sz w:val="18"/>
              <w:szCs w:val="18"/>
              <w:lang w:eastAsia="cs-CZ"/>
            </w:rPr>
          </w:pPr>
          <w:r w:rsidRPr="005E153C">
            <w:rPr>
              <w:rFonts w:eastAsia="Calibri" w:cs="Arial"/>
              <w:sz w:val="18"/>
              <w:szCs w:val="18"/>
              <w:lang w:eastAsia="cs-CZ"/>
            </w:rPr>
            <w:t>Copyright © 202</w:t>
          </w:r>
          <w:r w:rsidR="00427E7B">
            <w:rPr>
              <w:rFonts w:eastAsia="Calibri" w:cs="Arial" w:hint="cs"/>
              <w:sz w:val="18"/>
              <w:szCs w:val="18"/>
              <w:rtl/>
              <w:lang w:eastAsia="cs-CZ"/>
            </w:rPr>
            <w:t>5</w:t>
          </w:r>
          <w:r w:rsidRPr="005E153C">
            <w:rPr>
              <w:rFonts w:eastAsia="Calibri" w:cs="Arial"/>
              <w:sz w:val="18"/>
              <w:szCs w:val="18"/>
              <w:lang w:eastAsia="cs-CZ"/>
            </w:rPr>
            <w:t xml:space="preserve"> Author(s) </w:t>
          </w:r>
        </w:p>
        <w:p w14:paraId="6F94F122" w14:textId="77777777" w:rsidR="00F739EC" w:rsidRPr="005E153C" w:rsidRDefault="00F739EC" w:rsidP="00F739EC">
          <w:pPr>
            <w:tabs>
              <w:tab w:val="center" w:pos="4536"/>
              <w:tab w:val="right" w:pos="9072"/>
            </w:tabs>
            <w:autoSpaceDE w:val="0"/>
            <w:autoSpaceDN w:val="0"/>
            <w:rPr>
              <w:rFonts w:eastAsia="Calibri" w:cs="Arial"/>
              <w:sz w:val="18"/>
              <w:szCs w:val="18"/>
              <w:lang w:eastAsia="cs-CZ"/>
            </w:rPr>
          </w:pPr>
          <w:r w:rsidRPr="005E153C">
            <w:rPr>
              <w:rFonts w:eastAsia="Calibri" w:cs="Arial"/>
              <w:sz w:val="18"/>
              <w:szCs w:val="18"/>
              <w:lang w:eastAsia="cs-CZ"/>
            </w:rPr>
            <w:t>ISSN: 3030-0541 online</w:t>
          </w:r>
        </w:p>
        <w:p w14:paraId="3FF3972B" w14:textId="77777777" w:rsidR="00F739EC" w:rsidRPr="005E153C" w:rsidRDefault="00F739EC" w:rsidP="00F739EC">
          <w:pPr>
            <w:tabs>
              <w:tab w:val="center" w:pos="4536"/>
              <w:tab w:val="right" w:pos="9072"/>
            </w:tabs>
            <w:autoSpaceDE w:val="0"/>
            <w:autoSpaceDN w:val="0"/>
            <w:rPr>
              <w:rFonts w:eastAsia="Calibri" w:cs="Arial"/>
              <w:sz w:val="18"/>
              <w:szCs w:val="18"/>
              <w:lang w:eastAsia="cs-CZ"/>
            </w:rPr>
          </w:pPr>
          <w:r w:rsidRPr="005E153C">
            <w:rPr>
              <w:rFonts w:eastAsia="Calibri" w:cs="Arial"/>
              <w:noProof/>
              <w:color w:val="0000FF"/>
              <w:sz w:val="24"/>
              <w:szCs w:val="24"/>
            </w:rPr>
            <w:drawing>
              <wp:inline distT="0" distB="0" distL="0" distR="0" wp14:anchorId="1AE5ACC6" wp14:editId="7821E811">
                <wp:extent cx="556260" cy="198120"/>
                <wp:effectExtent l="0" t="0" r="0" b="0"/>
                <wp:docPr id="3" name="Picture 3"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p>
      </w:tc>
      <w:tc>
        <w:tcPr>
          <w:tcW w:w="3402" w:type="dxa"/>
          <w:hideMark/>
        </w:tcPr>
        <w:p w14:paraId="7EFB2329" w14:textId="77777777" w:rsidR="00F739EC" w:rsidRPr="005E153C" w:rsidRDefault="00F739EC" w:rsidP="00F739EC">
          <w:pPr>
            <w:tabs>
              <w:tab w:val="center" w:pos="4536"/>
              <w:tab w:val="right" w:pos="9072"/>
            </w:tabs>
            <w:autoSpaceDE w:val="0"/>
            <w:autoSpaceDN w:val="0"/>
            <w:spacing w:before="120"/>
            <w:jc w:val="right"/>
            <w:rPr>
              <w:rFonts w:eastAsia="Calibri" w:cs="Arial"/>
              <w:lang w:eastAsia="cs-CZ"/>
            </w:rPr>
          </w:pPr>
          <w:r w:rsidRPr="005E153C">
            <w:rPr>
              <w:rFonts w:eastAsia="Calibri" w:cs="Arial"/>
              <w:noProof/>
              <w:sz w:val="24"/>
              <w:szCs w:val="24"/>
            </w:rPr>
            <w:drawing>
              <wp:inline distT="0" distB="0" distL="0" distR="0" wp14:anchorId="47D0C099" wp14:editId="2E798121">
                <wp:extent cx="1440180" cy="74676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180" cy="746760"/>
                        </a:xfrm>
                        <a:prstGeom prst="rect">
                          <a:avLst/>
                        </a:prstGeom>
                        <a:noFill/>
                        <a:ln>
                          <a:noFill/>
                        </a:ln>
                      </pic:spPr>
                    </pic:pic>
                  </a:graphicData>
                </a:graphic>
              </wp:inline>
            </w:drawing>
          </w:r>
        </w:p>
      </w:tc>
    </w:tr>
  </w:tbl>
  <w:p w14:paraId="005AAA7D" w14:textId="77777777" w:rsidR="00F739EC" w:rsidRPr="005E153C" w:rsidRDefault="00F739EC" w:rsidP="00F739EC">
    <w:pPr>
      <w:tabs>
        <w:tab w:val="center" w:pos="4536"/>
        <w:tab w:val="right" w:pos="9072"/>
      </w:tabs>
      <w:autoSpaceDE w:val="0"/>
      <w:autoSpaceDN w:val="0"/>
      <w:spacing w:after="0" w:line="240" w:lineRule="auto"/>
      <w:jc w:val="both"/>
      <w:rPr>
        <w:rFonts w:ascii="Times New Roman" w:eastAsia="Times New Roman" w:hAnsi="Times New Roman" w:cs="Times New Roman"/>
        <w:lang w:eastAsia="cs-CZ"/>
      </w:rPr>
    </w:pPr>
  </w:p>
  <w:p w14:paraId="314B22BA" w14:textId="77777777" w:rsidR="00F739EC" w:rsidRPr="005E153C" w:rsidRDefault="00F739EC" w:rsidP="00F739EC">
    <w:pPr>
      <w:tabs>
        <w:tab w:val="center" w:pos="4513"/>
        <w:tab w:val="right" w:pos="9026"/>
      </w:tabs>
      <w:spacing w:before="120" w:after="0" w:line="240" w:lineRule="auto"/>
      <w:rPr>
        <w:rFonts w:ascii="Calibri" w:eastAsia="Calibri" w:hAnsi="Calibri" w:cs="Arial"/>
        <w:lang w:val="en-IN"/>
      </w:rPr>
    </w:pPr>
  </w:p>
  <w:p w14:paraId="2A7FFE95" w14:textId="77777777" w:rsidR="00F739EC" w:rsidRPr="005E153C" w:rsidRDefault="00F739EC" w:rsidP="00F739EC">
    <w:pPr>
      <w:tabs>
        <w:tab w:val="center" w:pos="4680"/>
        <w:tab w:val="right" w:pos="9360"/>
      </w:tabs>
      <w:spacing w:before="120" w:after="120" w:line="240" w:lineRule="auto"/>
      <w:rPr>
        <w:rFonts w:ascii="Times New Roman" w:eastAsia="Calibri" w:hAnsi="Times New Roman" w:cs="Arial"/>
        <w:kern w:val="2"/>
        <w:sz w:val="24"/>
        <w14:ligatures w14:val="standardContextual"/>
      </w:rPr>
    </w:pPr>
  </w:p>
  <w:p w14:paraId="0B566729" w14:textId="77777777" w:rsidR="00F739EC" w:rsidRDefault="00F73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16ACEE"/>
    <w:lvl w:ilvl="0">
      <w:start w:val="1"/>
      <w:numFmt w:val="decimal"/>
      <w:lvlText w:val="%1."/>
      <w:lvlJc w:val="left"/>
      <w:pPr>
        <w:tabs>
          <w:tab w:val="num" w:pos="720"/>
        </w:tabs>
      </w:pPr>
    </w:lvl>
    <w:lvl w:ilvl="1">
      <w:start w:val="1"/>
      <w:numFmt w:val="decimal"/>
      <w:lvlText w:val="%1.%2"/>
      <w:lvlJc w:val="left"/>
      <w:pPr>
        <w:tabs>
          <w:tab w:val="num" w:pos="720"/>
        </w:tabs>
      </w:pPr>
    </w:lvl>
    <w:lvl w:ilvl="2">
      <w:start w:val="1"/>
      <w:numFmt w:val="decimal"/>
      <w:lvlText w:val="%1.%2.%3"/>
      <w:lvlJc w:val="left"/>
      <w:pPr>
        <w:tabs>
          <w:tab w:val="num" w:pos="360"/>
        </w:tabs>
      </w:pPr>
    </w:lvl>
    <w:lvl w:ilvl="3">
      <w:start w:val="1"/>
      <w:numFmt w:val="decimal"/>
      <w:lvlText w:val="%1.%2.%3.%4"/>
      <w:lvlJc w:val="left"/>
      <w:pPr>
        <w:tabs>
          <w:tab w:val="num" w:pos="360"/>
        </w:tabs>
      </w:pPr>
    </w:lvl>
    <w:lvl w:ilvl="4">
      <w:start w:val="1"/>
      <w:numFmt w:val="decimal"/>
      <w:lvlText w:val="%1.%2.%3.%4.%5"/>
      <w:lvlJc w:val="left"/>
      <w:pPr>
        <w:tabs>
          <w:tab w:val="num" w:pos="360"/>
        </w:tabs>
      </w:pPr>
    </w:lvl>
    <w:lvl w:ilvl="5">
      <w:start w:val="1"/>
      <w:numFmt w:val="decimal"/>
      <w:lvlText w:val="%1.%2.%3.%4.%5.%6"/>
      <w:lvlJc w:val="left"/>
      <w:pPr>
        <w:tabs>
          <w:tab w:val="num" w:pos="360"/>
        </w:tabs>
      </w:pPr>
    </w:lvl>
    <w:lvl w:ilvl="6">
      <w:start w:val="1"/>
      <w:numFmt w:val="decimal"/>
      <w:lvlText w:val="%1.%2.%3.%4.%5.%6.%7"/>
      <w:lvlJc w:val="left"/>
      <w:pPr>
        <w:tabs>
          <w:tab w:val="num" w:pos="360"/>
        </w:tabs>
      </w:pPr>
    </w:lvl>
    <w:lvl w:ilvl="7">
      <w:start w:val="1"/>
      <w:numFmt w:val="decimal"/>
      <w:lvlText w:val="%1.%2.%3.%4.%5.%6.%7.%8"/>
      <w:lvlJc w:val="left"/>
      <w:pPr>
        <w:tabs>
          <w:tab w:val="num" w:pos="360"/>
        </w:tabs>
      </w:pPr>
    </w:lvl>
    <w:lvl w:ilvl="8">
      <w:start w:val="1"/>
      <w:numFmt w:val="decimal"/>
      <w:lvlText w:val="%1.%2.%3.%4.%5.%6.%7.%8.%9"/>
      <w:lvlJc w:val="left"/>
      <w:pPr>
        <w:tabs>
          <w:tab w:val="num" w:pos="360"/>
        </w:tabs>
      </w:pPr>
    </w:lvl>
  </w:abstractNum>
  <w:abstractNum w:abstractNumId="1" w15:restartNumberingAfterBreak="0">
    <w:nsid w:val="041B3BAA"/>
    <w:multiLevelType w:val="multilevel"/>
    <w:tmpl w:val="041B3BAA"/>
    <w:lvl w:ilvl="0">
      <w:start w:val="1"/>
      <w:numFmt w:val="decimal"/>
      <w:lvlText w:val="[%1]"/>
      <w:lvlJc w:val="left"/>
      <w:pPr>
        <w:ind w:left="420" w:hanging="420"/>
      </w:pPr>
      <w:rPr>
        <w:rFonts w:ascii="Times New Roman" w:hint="default"/>
        <w:color w:val="000000"/>
        <w:u w:color="000000"/>
      </w:rPr>
    </w:lvl>
    <w:lvl w:ilvl="1">
      <w:start w:val="1"/>
      <w:numFmt w:val="lowerLetter"/>
      <w:lvlText w:val="%2)"/>
      <w:lvlJc w:val="left"/>
      <w:pPr>
        <w:ind w:left="840" w:hanging="420"/>
      </w:pPr>
      <w:rPr>
        <w:rFonts w:ascii="Times New Roman" w:hint="default"/>
      </w:rPr>
    </w:lvl>
    <w:lvl w:ilvl="2">
      <w:start w:val="1"/>
      <w:numFmt w:val="lowerRoman"/>
      <w:lvlText w:val="%3."/>
      <w:lvlJc w:val="right"/>
      <w:pPr>
        <w:ind w:left="1260" w:hanging="420"/>
      </w:pPr>
      <w:rPr>
        <w:rFonts w:ascii="Times New Roman" w:hint="default"/>
      </w:rPr>
    </w:lvl>
    <w:lvl w:ilvl="3">
      <w:start w:val="1"/>
      <w:numFmt w:val="decimal"/>
      <w:lvlText w:val="%4."/>
      <w:lvlJc w:val="left"/>
      <w:pPr>
        <w:ind w:left="1680" w:hanging="420"/>
      </w:pPr>
      <w:rPr>
        <w:rFonts w:ascii="Times New Roman" w:hint="default"/>
      </w:rPr>
    </w:lvl>
    <w:lvl w:ilvl="4">
      <w:start w:val="1"/>
      <w:numFmt w:val="lowerLetter"/>
      <w:lvlText w:val="%5)"/>
      <w:lvlJc w:val="left"/>
      <w:pPr>
        <w:ind w:left="2100" w:hanging="420"/>
      </w:pPr>
      <w:rPr>
        <w:rFonts w:ascii="Times New Roman" w:hint="default"/>
      </w:rPr>
    </w:lvl>
    <w:lvl w:ilvl="5">
      <w:start w:val="1"/>
      <w:numFmt w:val="lowerRoman"/>
      <w:lvlText w:val="%6."/>
      <w:lvlJc w:val="right"/>
      <w:pPr>
        <w:ind w:left="2520" w:hanging="420"/>
      </w:pPr>
      <w:rPr>
        <w:rFonts w:ascii="Times New Roman" w:hint="default"/>
      </w:rPr>
    </w:lvl>
    <w:lvl w:ilvl="6">
      <w:start w:val="1"/>
      <w:numFmt w:val="decimal"/>
      <w:lvlText w:val="%7."/>
      <w:lvlJc w:val="left"/>
      <w:pPr>
        <w:ind w:left="2940" w:hanging="420"/>
      </w:pPr>
      <w:rPr>
        <w:rFonts w:ascii="Times New Roman" w:hint="default"/>
      </w:rPr>
    </w:lvl>
    <w:lvl w:ilvl="7">
      <w:start w:val="1"/>
      <w:numFmt w:val="lowerLetter"/>
      <w:lvlText w:val="%8)"/>
      <w:lvlJc w:val="left"/>
      <w:pPr>
        <w:ind w:left="3360" w:hanging="420"/>
      </w:pPr>
      <w:rPr>
        <w:rFonts w:ascii="Times New Roman" w:hint="default"/>
      </w:rPr>
    </w:lvl>
    <w:lvl w:ilvl="8">
      <w:start w:val="1"/>
      <w:numFmt w:val="lowerRoman"/>
      <w:lvlText w:val="%9."/>
      <w:lvlJc w:val="right"/>
      <w:pPr>
        <w:ind w:left="3780" w:hanging="420"/>
      </w:pPr>
      <w:rPr>
        <w:rFonts w:ascii="Times New Roman" w:hint="default"/>
      </w:rPr>
    </w:lvl>
  </w:abstractNum>
  <w:abstractNum w:abstractNumId="2" w15:restartNumberingAfterBreak="0">
    <w:nsid w:val="050130D0"/>
    <w:multiLevelType w:val="hybridMultilevel"/>
    <w:tmpl w:val="7F7AEC58"/>
    <w:lvl w:ilvl="0" w:tplc="8926EFF2">
      <w:start w:val="1"/>
      <w:numFmt w:val="bullet"/>
      <w:pStyle w:val="List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C3123"/>
    <w:multiLevelType w:val="hybridMultilevel"/>
    <w:tmpl w:val="402400A6"/>
    <w:lvl w:ilvl="0" w:tplc="434E5BE2">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9A1421"/>
    <w:multiLevelType w:val="hybridMultilevel"/>
    <w:tmpl w:val="E0641716"/>
    <w:lvl w:ilvl="0" w:tplc="6E02B7DE">
      <w:start w:val="1"/>
      <w:numFmt w:val="decimal"/>
      <w:pStyle w:val="BibItem"/>
      <w:lvlText w:val="[%1]"/>
      <w:lvlJc w:val="left"/>
      <w:pPr>
        <w:tabs>
          <w:tab w:val="num" w:pos="122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5" w15:restartNumberingAfterBreak="0">
    <w:nsid w:val="18BC13B6"/>
    <w:multiLevelType w:val="hybridMultilevel"/>
    <w:tmpl w:val="BDF610B2"/>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6" w15:restartNumberingAfterBreak="0">
    <w:nsid w:val="19DD58BC"/>
    <w:multiLevelType w:val="hybridMultilevel"/>
    <w:tmpl w:val="BD8E8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8975FA"/>
    <w:multiLevelType w:val="hybridMultilevel"/>
    <w:tmpl w:val="99B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2FEC"/>
    <w:multiLevelType w:val="hybridMultilevel"/>
    <w:tmpl w:val="511C251A"/>
    <w:lvl w:ilvl="0" w:tplc="374AA45E">
      <w:start w:val="1"/>
      <w:numFmt w:val="decimal"/>
      <w:pStyle w:val="ListNumb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877D64"/>
    <w:multiLevelType w:val="singleLevel"/>
    <w:tmpl w:val="BEBA665C"/>
    <w:lvl w:ilvl="0">
      <w:start w:val="1"/>
      <w:numFmt w:val="decimal"/>
      <w:pStyle w:val="References"/>
      <w:lvlText w:val="[%1]"/>
      <w:lvlJc w:val="left"/>
      <w:pPr>
        <w:tabs>
          <w:tab w:val="num" w:pos="360"/>
        </w:tabs>
        <w:ind w:left="360" w:hanging="360"/>
      </w:pPr>
      <w:rPr>
        <w:sz w:val="24"/>
        <w:szCs w:val="24"/>
      </w:rPr>
    </w:lvl>
  </w:abstractNum>
  <w:abstractNum w:abstractNumId="10" w15:restartNumberingAfterBreak="0">
    <w:nsid w:val="3DB04801"/>
    <w:multiLevelType w:val="multilevel"/>
    <w:tmpl w:val="3DB04801"/>
    <w:lvl w:ilvl="0">
      <w:start w:val="1"/>
      <w:numFmt w:val="decimal"/>
      <w:lvlText w:val="%1."/>
      <w:lvlJc w:val="left"/>
      <w:pPr>
        <w:ind w:left="360" w:hanging="360"/>
      </w:pPr>
      <w:rPr>
        <w:rFonts w:ascii="Times New Roman" w:hint="default"/>
      </w:rPr>
    </w:lvl>
    <w:lvl w:ilvl="1">
      <w:start w:val="1"/>
      <w:numFmt w:val="decimal"/>
      <w:isLgl/>
      <w:lvlText w:val="%1.%2"/>
      <w:lvlJc w:val="left"/>
      <w:pPr>
        <w:ind w:left="360" w:hanging="360"/>
      </w:pPr>
      <w:rPr>
        <w:rFonts w:ascii="Times New Roman" w:hint="default"/>
      </w:rPr>
    </w:lvl>
    <w:lvl w:ilvl="2">
      <w:start w:val="1"/>
      <w:numFmt w:val="decimal"/>
      <w:isLgl/>
      <w:lvlText w:val="%1.%2.%3"/>
      <w:lvlJc w:val="left"/>
      <w:pPr>
        <w:ind w:left="720" w:hanging="720"/>
      </w:pPr>
      <w:rPr>
        <w:rFonts w:ascii="Times New Roman" w:hint="default"/>
      </w:rPr>
    </w:lvl>
    <w:lvl w:ilvl="3">
      <w:start w:val="1"/>
      <w:numFmt w:val="decimal"/>
      <w:isLgl/>
      <w:lvlText w:val="%1.%2.%3.%4"/>
      <w:lvlJc w:val="left"/>
      <w:pPr>
        <w:ind w:left="720" w:hanging="720"/>
      </w:pPr>
      <w:rPr>
        <w:rFonts w:ascii="Times New Roman" w:hint="default"/>
      </w:rPr>
    </w:lvl>
    <w:lvl w:ilvl="4">
      <w:start w:val="1"/>
      <w:numFmt w:val="decimal"/>
      <w:isLgl/>
      <w:lvlText w:val="%1.%2.%3.%4.%5"/>
      <w:lvlJc w:val="left"/>
      <w:pPr>
        <w:ind w:left="1080" w:hanging="1080"/>
      </w:pPr>
      <w:rPr>
        <w:rFonts w:ascii="Times New Roman" w:hint="default"/>
      </w:rPr>
    </w:lvl>
    <w:lvl w:ilvl="5">
      <w:start w:val="1"/>
      <w:numFmt w:val="decimal"/>
      <w:isLgl/>
      <w:lvlText w:val="%1.%2.%3.%4.%5.%6"/>
      <w:lvlJc w:val="left"/>
      <w:pPr>
        <w:ind w:left="1080" w:hanging="1080"/>
      </w:pPr>
      <w:rPr>
        <w:rFonts w:ascii="Times New Roman" w:hint="default"/>
      </w:rPr>
    </w:lvl>
    <w:lvl w:ilvl="6">
      <w:start w:val="1"/>
      <w:numFmt w:val="decimal"/>
      <w:isLgl/>
      <w:lvlText w:val=""/>
      <w:lvlJc w:val="left"/>
      <w:pPr>
        <w:ind w:left="1440" w:hanging="1440"/>
      </w:pPr>
      <w:rPr>
        <w:rFonts w:ascii="Times New Roman" w:hint="default"/>
      </w:rPr>
    </w:lvl>
    <w:lvl w:ilvl="7">
      <w:start w:val="1"/>
      <w:numFmt w:val="decimal"/>
      <w:isLgl/>
      <w:lvlText w:val="%1.%2.%3.%4.%5.%6..%8"/>
      <w:lvlJc w:val="left"/>
      <w:pPr>
        <w:ind w:left="1440" w:hanging="1440"/>
      </w:pPr>
      <w:rPr>
        <w:rFonts w:ascii="Times New Roman" w:hint="default"/>
      </w:rPr>
    </w:lvl>
    <w:lvl w:ilvl="8">
      <w:start w:val="1"/>
      <w:numFmt w:val="decimal"/>
      <w:isLgl/>
      <w:lvlText w:val="%1.%2.%3.%4.%5.%6..%8.%9"/>
      <w:lvlJc w:val="left"/>
      <w:pPr>
        <w:ind w:left="1800" w:hanging="1800"/>
      </w:pPr>
      <w:rPr>
        <w:rFonts w:ascii="Times New Roman" w:hint="default"/>
      </w:rPr>
    </w:lvl>
  </w:abstractNum>
  <w:abstractNum w:abstractNumId="11" w15:restartNumberingAfterBreak="0">
    <w:nsid w:val="518E05DF"/>
    <w:multiLevelType w:val="hybridMultilevel"/>
    <w:tmpl w:val="B3680E5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2" w15:restartNumberingAfterBreak="0">
    <w:nsid w:val="64F30D2C"/>
    <w:multiLevelType w:val="hybridMultilevel"/>
    <w:tmpl w:val="35CE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149263">
    <w:abstractNumId w:val="12"/>
  </w:num>
  <w:num w:numId="2" w16cid:durableId="2139057986">
    <w:abstractNumId w:val="7"/>
  </w:num>
  <w:num w:numId="3" w16cid:durableId="1765682196">
    <w:abstractNumId w:val="0"/>
  </w:num>
  <w:num w:numId="4" w16cid:durableId="658189180">
    <w:abstractNumId w:val="4"/>
  </w:num>
  <w:num w:numId="5" w16cid:durableId="1921133937">
    <w:abstractNumId w:val="2"/>
  </w:num>
  <w:num w:numId="6" w16cid:durableId="2102333073">
    <w:abstractNumId w:val="8"/>
  </w:num>
  <w:num w:numId="7" w16cid:durableId="32467919">
    <w:abstractNumId w:val="6"/>
  </w:num>
  <w:num w:numId="8" w16cid:durableId="1763647007">
    <w:abstractNumId w:val="11"/>
  </w:num>
  <w:num w:numId="9" w16cid:durableId="763649632">
    <w:abstractNumId w:val="9"/>
  </w:num>
  <w:num w:numId="10" w16cid:durableId="1574244291">
    <w:abstractNumId w:val="10"/>
  </w:num>
  <w:num w:numId="11" w16cid:durableId="1663511154">
    <w:abstractNumId w:val="1"/>
  </w:num>
  <w:num w:numId="12" w16cid:durableId="108935691">
    <w:abstractNumId w:val="3"/>
  </w:num>
  <w:num w:numId="13" w16cid:durableId="111674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2MDQ3NzKzNLE0MbZU0lEKTi0uzszPAykwqwUAe9A0TCwAAAA="/>
  </w:docVars>
  <w:rsids>
    <w:rsidRoot w:val="006C7606"/>
    <w:rsid w:val="00021447"/>
    <w:rsid w:val="00050947"/>
    <w:rsid w:val="00054D72"/>
    <w:rsid w:val="00077766"/>
    <w:rsid w:val="000D0EC1"/>
    <w:rsid w:val="000E0D5B"/>
    <w:rsid w:val="000F5434"/>
    <w:rsid w:val="00112E30"/>
    <w:rsid w:val="00125898"/>
    <w:rsid w:val="00157324"/>
    <w:rsid w:val="001718A7"/>
    <w:rsid w:val="00176DCE"/>
    <w:rsid w:val="0018116C"/>
    <w:rsid w:val="001A5F1F"/>
    <w:rsid w:val="001C7464"/>
    <w:rsid w:val="001E46FC"/>
    <w:rsid w:val="001F14FE"/>
    <w:rsid w:val="00210609"/>
    <w:rsid w:val="002479A2"/>
    <w:rsid w:val="0029675A"/>
    <w:rsid w:val="002C438C"/>
    <w:rsid w:val="002D1330"/>
    <w:rsid w:val="002E1010"/>
    <w:rsid w:val="00311033"/>
    <w:rsid w:val="00314ADB"/>
    <w:rsid w:val="00317218"/>
    <w:rsid w:val="0032266A"/>
    <w:rsid w:val="00325DB8"/>
    <w:rsid w:val="00335CA6"/>
    <w:rsid w:val="003520E9"/>
    <w:rsid w:val="003A1702"/>
    <w:rsid w:val="003A6430"/>
    <w:rsid w:val="003A6DF7"/>
    <w:rsid w:val="003F2343"/>
    <w:rsid w:val="00421EB0"/>
    <w:rsid w:val="00427E7B"/>
    <w:rsid w:val="0046371D"/>
    <w:rsid w:val="00490439"/>
    <w:rsid w:val="004C1347"/>
    <w:rsid w:val="004D16CC"/>
    <w:rsid w:val="004E301A"/>
    <w:rsid w:val="0053594B"/>
    <w:rsid w:val="005436FE"/>
    <w:rsid w:val="00552ED5"/>
    <w:rsid w:val="0055712F"/>
    <w:rsid w:val="00563F62"/>
    <w:rsid w:val="00582C3B"/>
    <w:rsid w:val="005C6662"/>
    <w:rsid w:val="005D1540"/>
    <w:rsid w:val="006002B9"/>
    <w:rsid w:val="006132E9"/>
    <w:rsid w:val="00626B38"/>
    <w:rsid w:val="006361AD"/>
    <w:rsid w:val="0065045D"/>
    <w:rsid w:val="00651C2C"/>
    <w:rsid w:val="00651EAD"/>
    <w:rsid w:val="00662E95"/>
    <w:rsid w:val="006A0927"/>
    <w:rsid w:val="006B2C0C"/>
    <w:rsid w:val="006C5B22"/>
    <w:rsid w:val="006C7606"/>
    <w:rsid w:val="006D0159"/>
    <w:rsid w:val="006E4B54"/>
    <w:rsid w:val="00703E59"/>
    <w:rsid w:val="00722C36"/>
    <w:rsid w:val="00733DC3"/>
    <w:rsid w:val="00743132"/>
    <w:rsid w:val="007547F8"/>
    <w:rsid w:val="00755246"/>
    <w:rsid w:val="007635D5"/>
    <w:rsid w:val="0076379F"/>
    <w:rsid w:val="0079772C"/>
    <w:rsid w:val="007B0897"/>
    <w:rsid w:val="007C18E6"/>
    <w:rsid w:val="0081277F"/>
    <w:rsid w:val="00814992"/>
    <w:rsid w:val="008251FE"/>
    <w:rsid w:val="008273CE"/>
    <w:rsid w:val="00837A02"/>
    <w:rsid w:val="00854566"/>
    <w:rsid w:val="00877BEC"/>
    <w:rsid w:val="00880308"/>
    <w:rsid w:val="0088040B"/>
    <w:rsid w:val="008A06A5"/>
    <w:rsid w:val="008A2228"/>
    <w:rsid w:val="008B3993"/>
    <w:rsid w:val="008C6C51"/>
    <w:rsid w:val="008D3489"/>
    <w:rsid w:val="008F7229"/>
    <w:rsid w:val="00952AAA"/>
    <w:rsid w:val="0096547B"/>
    <w:rsid w:val="009D278A"/>
    <w:rsid w:val="00A36DF5"/>
    <w:rsid w:val="00A656CE"/>
    <w:rsid w:val="00A7041B"/>
    <w:rsid w:val="00A74A63"/>
    <w:rsid w:val="00A95342"/>
    <w:rsid w:val="00AB0F55"/>
    <w:rsid w:val="00AD656D"/>
    <w:rsid w:val="00AE487F"/>
    <w:rsid w:val="00AF4B36"/>
    <w:rsid w:val="00B00C0A"/>
    <w:rsid w:val="00B262DB"/>
    <w:rsid w:val="00B6794F"/>
    <w:rsid w:val="00B75BBC"/>
    <w:rsid w:val="00BE05DD"/>
    <w:rsid w:val="00BE0A47"/>
    <w:rsid w:val="00C141A1"/>
    <w:rsid w:val="00C23E0F"/>
    <w:rsid w:val="00C46395"/>
    <w:rsid w:val="00C478E7"/>
    <w:rsid w:val="00C57B16"/>
    <w:rsid w:val="00C63872"/>
    <w:rsid w:val="00C640A6"/>
    <w:rsid w:val="00C80794"/>
    <w:rsid w:val="00C8471E"/>
    <w:rsid w:val="00C95714"/>
    <w:rsid w:val="00CD0D1A"/>
    <w:rsid w:val="00CD1702"/>
    <w:rsid w:val="00CD690E"/>
    <w:rsid w:val="00CF2491"/>
    <w:rsid w:val="00D13A79"/>
    <w:rsid w:val="00D33FE5"/>
    <w:rsid w:val="00D3781B"/>
    <w:rsid w:val="00D44C9F"/>
    <w:rsid w:val="00DA7443"/>
    <w:rsid w:val="00DB4C39"/>
    <w:rsid w:val="00DC6CA6"/>
    <w:rsid w:val="00DD6016"/>
    <w:rsid w:val="00DE18E0"/>
    <w:rsid w:val="00DF3549"/>
    <w:rsid w:val="00DF58EE"/>
    <w:rsid w:val="00E17FD0"/>
    <w:rsid w:val="00E45041"/>
    <w:rsid w:val="00E502ED"/>
    <w:rsid w:val="00E57953"/>
    <w:rsid w:val="00E819CF"/>
    <w:rsid w:val="00E86757"/>
    <w:rsid w:val="00E93385"/>
    <w:rsid w:val="00E9413C"/>
    <w:rsid w:val="00E97E28"/>
    <w:rsid w:val="00EB759F"/>
    <w:rsid w:val="00F100F8"/>
    <w:rsid w:val="00F2384B"/>
    <w:rsid w:val="00F243B2"/>
    <w:rsid w:val="00F3398E"/>
    <w:rsid w:val="00F4356F"/>
    <w:rsid w:val="00F444D4"/>
    <w:rsid w:val="00F739EC"/>
    <w:rsid w:val="00FB51EF"/>
    <w:rsid w:val="00FD3351"/>
    <w:rsid w:val="00FD5759"/>
    <w:rsid w:val="00FF6195"/>
    <w:rsid w:val="00FF6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DDDC"/>
  <w15:chartTrackingRefBased/>
  <w15:docId w15:val="{42BFAFD7-455E-4598-BC9D-4618BB09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8E"/>
  </w:style>
  <w:style w:type="paragraph" w:styleId="Heading1">
    <w:name w:val="heading 1"/>
    <w:basedOn w:val="Normal"/>
    <w:next w:val="Normal"/>
    <w:link w:val="Heading1Char"/>
    <w:qFormat/>
    <w:rsid w:val="00427E7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427E7B"/>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427E7B"/>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2C438C"/>
    <w:pPr>
      <w:keepNext/>
      <w:tabs>
        <w:tab w:val="num" w:pos="0"/>
      </w:tabs>
      <w:autoSpaceDE w:val="0"/>
      <w:autoSpaceDN w:val="0"/>
      <w:spacing w:before="240" w:after="60" w:line="240" w:lineRule="auto"/>
      <w:jc w:val="both"/>
      <w:outlineLvl w:val="3"/>
    </w:pPr>
    <w:rPr>
      <w:rFonts w:ascii="Arial" w:eastAsia="Times New Roman" w:hAnsi="Arial" w:cs="Arial"/>
      <w:b/>
      <w:bCs/>
      <w:sz w:val="24"/>
      <w:szCs w:val="24"/>
      <w:lang w:eastAsia="cs-CZ"/>
    </w:rPr>
  </w:style>
  <w:style w:type="paragraph" w:styleId="Heading5">
    <w:name w:val="heading 5"/>
    <w:basedOn w:val="Normal"/>
    <w:next w:val="Normal"/>
    <w:link w:val="Heading5Char"/>
    <w:qFormat/>
    <w:rsid w:val="002C438C"/>
    <w:pPr>
      <w:tabs>
        <w:tab w:val="num" w:pos="0"/>
      </w:tabs>
      <w:autoSpaceDE w:val="0"/>
      <w:autoSpaceDN w:val="0"/>
      <w:spacing w:before="240" w:after="60" w:line="240" w:lineRule="auto"/>
      <w:jc w:val="both"/>
      <w:outlineLvl w:val="4"/>
    </w:pPr>
    <w:rPr>
      <w:rFonts w:ascii="Arial" w:eastAsia="Times New Roman" w:hAnsi="Arial" w:cs="Arial"/>
      <w:lang w:eastAsia="cs-CZ"/>
    </w:rPr>
  </w:style>
  <w:style w:type="paragraph" w:styleId="Heading6">
    <w:name w:val="heading 6"/>
    <w:basedOn w:val="Normal"/>
    <w:next w:val="Normal"/>
    <w:link w:val="Heading6Char"/>
    <w:qFormat/>
    <w:rsid w:val="002C438C"/>
    <w:pPr>
      <w:tabs>
        <w:tab w:val="num" w:pos="0"/>
      </w:tabs>
      <w:autoSpaceDE w:val="0"/>
      <w:autoSpaceDN w:val="0"/>
      <w:spacing w:before="240" w:after="60" w:line="240" w:lineRule="auto"/>
      <w:jc w:val="both"/>
      <w:outlineLvl w:val="5"/>
    </w:pPr>
    <w:rPr>
      <w:rFonts w:ascii="Times New Roman" w:eastAsia="Times New Roman" w:hAnsi="Times New Roman" w:cs="Times New Roman"/>
      <w:i/>
      <w:iCs/>
      <w:lang w:eastAsia="cs-CZ"/>
    </w:rPr>
  </w:style>
  <w:style w:type="paragraph" w:styleId="Heading7">
    <w:name w:val="heading 7"/>
    <w:basedOn w:val="Normal"/>
    <w:next w:val="Normal"/>
    <w:link w:val="Heading7Char"/>
    <w:qFormat/>
    <w:rsid w:val="002C438C"/>
    <w:pPr>
      <w:tabs>
        <w:tab w:val="num" w:pos="0"/>
      </w:tabs>
      <w:autoSpaceDE w:val="0"/>
      <w:autoSpaceDN w:val="0"/>
      <w:spacing w:before="240" w:after="60" w:line="240" w:lineRule="auto"/>
      <w:jc w:val="both"/>
      <w:outlineLvl w:val="6"/>
    </w:pPr>
    <w:rPr>
      <w:rFonts w:ascii="Arial" w:eastAsia="Times New Roman" w:hAnsi="Arial" w:cs="Arial"/>
      <w:lang w:eastAsia="cs-CZ"/>
    </w:rPr>
  </w:style>
  <w:style w:type="paragraph" w:styleId="Heading8">
    <w:name w:val="heading 8"/>
    <w:basedOn w:val="Normal"/>
    <w:next w:val="Normal"/>
    <w:link w:val="Heading8Char"/>
    <w:qFormat/>
    <w:rsid w:val="002C438C"/>
    <w:pPr>
      <w:tabs>
        <w:tab w:val="num" w:pos="0"/>
      </w:tabs>
      <w:autoSpaceDE w:val="0"/>
      <w:autoSpaceDN w:val="0"/>
      <w:spacing w:before="240" w:after="60" w:line="240" w:lineRule="auto"/>
      <w:jc w:val="both"/>
      <w:outlineLvl w:val="7"/>
    </w:pPr>
    <w:rPr>
      <w:rFonts w:ascii="Arial" w:eastAsia="Times New Roman" w:hAnsi="Arial" w:cs="Arial"/>
      <w:i/>
      <w:iCs/>
      <w:lang w:eastAsia="cs-CZ"/>
    </w:rPr>
  </w:style>
  <w:style w:type="paragraph" w:styleId="Heading9">
    <w:name w:val="heading 9"/>
    <w:basedOn w:val="Normal"/>
    <w:next w:val="Normal"/>
    <w:link w:val="Heading9Char"/>
    <w:qFormat/>
    <w:rsid w:val="002C438C"/>
    <w:pPr>
      <w:tabs>
        <w:tab w:val="num" w:pos="0"/>
      </w:tabs>
      <w:autoSpaceDE w:val="0"/>
      <w:autoSpaceDN w:val="0"/>
      <w:spacing w:before="240" w:after="60" w:line="240" w:lineRule="auto"/>
      <w:jc w:val="both"/>
      <w:outlineLvl w:val="8"/>
    </w:pPr>
    <w:rPr>
      <w:rFonts w:ascii="Arial" w:eastAsia="Times New Roman" w:hAnsi="Arial" w:cs="Arial"/>
      <w:b/>
      <w:bCs/>
      <w:i/>
      <w:iCs/>
      <w:sz w:val="18"/>
      <w:szCs w:val="1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16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877BEC"/>
    <w:rPr>
      <w:rFonts w:ascii="Times New Roman" w:hAnsi="Times New Roman" w:cs="Times New Roman"/>
      <w:color w:val="0000FF"/>
      <w:sz w:val="24"/>
      <w:szCs w:val="24"/>
      <w:u w:val="single"/>
    </w:rPr>
  </w:style>
  <w:style w:type="paragraph" w:styleId="Header">
    <w:name w:val="header"/>
    <w:basedOn w:val="Normal"/>
    <w:link w:val="HeaderChar"/>
    <w:unhideWhenUsed/>
    <w:rsid w:val="001718A7"/>
    <w:pPr>
      <w:tabs>
        <w:tab w:val="center" w:pos="4680"/>
        <w:tab w:val="right" w:pos="9360"/>
      </w:tabs>
      <w:spacing w:after="0" w:line="240" w:lineRule="auto"/>
    </w:pPr>
  </w:style>
  <w:style w:type="character" w:customStyle="1" w:styleId="HeaderChar">
    <w:name w:val="Header Char"/>
    <w:basedOn w:val="DefaultParagraphFont"/>
    <w:link w:val="Header"/>
    <w:rsid w:val="001718A7"/>
  </w:style>
  <w:style w:type="paragraph" w:styleId="Footer">
    <w:name w:val="footer"/>
    <w:basedOn w:val="Normal"/>
    <w:link w:val="FooterChar"/>
    <w:unhideWhenUsed/>
    <w:rsid w:val="00171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8A7"/>
  </w:style>
  <w:style w:type="paragraph" w:styleId="ListParagraph">
    <w:name w:val="List Paragraph"/>
    <w:basedOn w:val="Normal"/>
    <w:uiPriority w:val="34"/>
    <w:qFormat/>
    <w:rsid w:val="0096547B"/>
    <w:pPr>
      <w:ind w:left="720"/>
      <w:contextualSpacing/>
    </w:pPr>
  </w:style>
  <w:style w:type="table" w:customStyle="1" w:styleId="TableGrid1">
    <w:name w:val="Table Grid1"/>
    <w:basedOn w:val="TableNormal"/>
    <w:rsid w:val="00F739EC"/>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7E7B"/>
    <w:rPr>
      <w:color w:val="605E5C"/>
      <w:shd w:val="clear" w:color="auto" w:fill="E1DFDD"/>
    </w:rPr>
  </w:style>
  <w:style w:type="character" w:customStyle="1" w:styleId="Heading1Char">
    <w:name w:val="Heading 1 Char"/>
    <w:basedOn w:val="DefaultParagraphFont"/>
    <w:link w:val="Heading1"/>
    <w:rsid w:val="00427E7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427E7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27E7B"/>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427E7B"/>
    <w:rPr>
      <w:b/>
      <w:bCs/>
    </w:rPr>
  </w:style>
  <w:style w:type="character" w:styleId="Emphasis">
    <w:name w:val="Emphasis"/>
    <w:basedOn w:val="DefaultParagraphFont"/>
    <w:uiPriority w:val="20"/>
    <w:qFormat/>
    <w:rsid w:val="00427E7B"/>
    <w:rPr>
      <w:i/>
      <w:iCs/>
    </w:rPr>
  </w:style>
  <w:style w:type="paragraph" w:styleId="BalloonText">
    <w:name w:val="Balloon Text"/>
    <w:basedOn w:val="Normal"/>
    <w:link w:val="BalloonTextChar"/>
    <w:unhideWhenUsed/>
    <w:rsid w:val="00427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27E7B"/>
    <w:rPr>
      <w:rFonts w:ascii="Tahoma" w:hAnsi="Tahoma" w:cs="Tahoma"/>
      <w:sz w:val="16"/>
      <w:szCs w:val="16"/>
    </w:rPr>
  </w:style>
  <w:style w:type="paragraph" w:styleId="Caption">
    <w:name w:val="caption"/>
    <w:basedOn w:val="Normal"/>
    <w:next w:val="Normal"/>
    <w:unhideWhenUsed/>
    <w:qFormat/>
    <w:rsid w:val="00427E7B"/>
    <w:pPr>
      <w:spacing w:after="200" w:line="240" w:lineRule="auto"/>
    </w:pPr>
    <w:rPr>
      <w:b/>
      <w:bCs/>
      <w:color w:val="4472C4" w:themeColor="accent1"/>
      <w:sz w:val="18"/>
      <w:szCs w:val="18"/>
    </w:rPr>
  </w:style>
  <w:style w:type="table" w:styleId="LightShading">
    <w:name w:val="Light Shading"/>
    <w:basedOn w:val="TableNormal"/>
    <w:uiPriority w:val="60"/>
    <w:rsid w:val="00427E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Info">
    <w:name w:val="Author Info"/>
    <w:basedOn w:val="Normal"/>
    <w:rsid w:val="00427E7B"/>
    <w:pPr>
      <w:tabs>
        <w:tab w:val="right" w:pos="8640"/>
      </w:tabs>
      <w:spacing w:after="0" w:line="480" w:lineRule="auto"/>
      <w:jc w:val="center"/>
    </w:pPr>
    <w:rPr>
      <w:rFonts w:ascii="Times New Roman" w:eastAsia="Times New Roman" w:hAnsi="Times New Roman" w:cs="Times New Roman"/>
      <w:sz w:val="24"/>
      <w:szCs w:val="24"/>
    </w:rPr>
  </w:style>
  <w:style w:type="paragraph" w:customStyle="1" w:styleId="TitleOfPaperCover">
    <w:name w:val="TitleOfPaper_Cover"/>
    <w:basedOn w:val="Normal"/>
    <w:rsid w:val="00427E7B"/>
    <w:pPr>
      <w:keepNext/>
      <w:keepLines/>
      <w:tabs>
        <w:tab w:val="right" w:pos="8640"/>
      </w:tabs>
      <w:spacing w:after="0" w:line="480" w:lineRule="auto"/>
      <w:jc w:val="center"/>
    </w:pPr>
    <w:rPr>
      <w:rFonts w:ascii="Times New Roman" w:eastAsia="Times New Roman" w:hAnsi="Times New Roman" w:cs="Times New Roman"/>
      <w:sz w:val="24"/>
    </w:rPr>
  </w:style>
  <w:style w:type="paragraph" w:customStyle="1" w:styleId="AbstractText">
    <w:name w:val="Abstract Text"/>
    <w:basedOn w:val="BodyText"/>
    <w:rsid w:val="00427E7B"/>
    <w:pPr>
      <w:keepNext/>
      <w:tabs>
        <w:tab w:val="right" w:pos="8640"/>
      </w:tabs>
      <w:spacing w:after="0" w:line="480" w:lineRule="auto"/>
    </w:pPr>
    <w:rPr>
      <w:rFonts w:ascii="Times New Roman" w:eastAsia="Times New Roman" w:hAnsi="Times New Roman" w:cs="Times New Roman"/>
      <w:sz w:val="24"/>
    </w:rPr>
  </w:style>
  <w:style w:type="paragraph" w:styleId="BodyText">
    <w:name w:val="Body Text"/>
    <w:basedOn w:val="Normal"/>
    <w:link w:val="BodyTextChar"/>
    <w:unhideWhenUsed/>
    <w:rsid w:val="00427E7B"/>
    <w:pPr>
      <w:spacing w:after="120" w:line="276" w:lineRule="auto"/>
    </w:pPr>
  </w:style>
  <w:style w:type="character" w:customStyle="1" w:styleId="BodyTextChar">
    <w:name w:val="Body Text Char"/>
    <w:basedOn w:val="DefaultParagraphFont"/>
    <w:link w:val="BodyText"/>
    <w:rsid w:val="00427E7B"/>
  </w:style>
  <w:style w:type="paragraph" w:customStyle="1" w:styleId="TTPKeywords">
    <w:name w:val="TTP Keywords"/>
    <w:basedOn w:val="Normal"/>
    <w:next w:val="Normal"/>
    <w:uiPriority w:val="99"/>
    <w:rsid w:val="00427E7B"/>
    <w:pPr>
      <w:autoSpaceDE w:val="0"/>
      <w:autoSpaceDN w:val="0"/>
      <w:spacing w:before="360" w:after="0" w:line="240" w:lineRule="auto"/>
      <w:ind w:firstLine="284"/>
      <w:jc w:val="both"/>
    </w:pPr>
    <w:rPr>
      <w:rFonts w:ascii="Arial" w:eastAsia="SimSun" w:hAnsi="Arial" w:cs="Times New Roman"/>
      <w:szCs w:val="20"/>
    </w:rPr>
  </w:style>
  <w:style w:type="paragraph" w:customStyle="1" w:styleId="Nadpistabulky">
    <w:name w:val="Nadpis tabulky"/>
    <w:basedOn w:val="BodyText"/>
    <w:rsid w:val="00427E7B"/>
    <w:pPr>
      <w:autoSpaceDE w:val="0"/>
      <w:autoSpaceDN w:val="0"/>
      <w:spacing w:before="120" w:after="0" w:line="240" w:lineRule="auto"/>
      <w:jc w:val="both"/>
    </w:pPr>
    <w:rPr>
      <w:rFonts w:ascii="Times New Roman" w:eastAsia="Times New Roman" w:hAnsi="Times New Roman" w:cs="Times New Roman"/>
      <w:i/>
      <w:iCs/>
      <w:sz w:val="20"/>
      <w:szCs w:val="20"/>
      <w:lang w:val="cs-CZ" w:eastAsia="cs-CZ"/>
    </w:rPr>
  </w:style>
  <w:style w:type="paragraph" w:customStyle="1" w:styleId="Tabulka">
    <w:name w:val="Tabulka"/>
    <w:basedOn w:val="BodyText"/>
    <w:rsid w:val="00427E7B"/>
    <w:pPr>
      <w:autoSpaceDE w:val="0"/>
      <w:autoSpaceDN w:val="0"/>
      <w:spacing w:before="120" w:after="0" w:line="240" w:lineRule="auto"/>
      <w:jc w:val="both"/>
    </w:pPr>
    <w:rPr>
      <w:rFonts w:ascii="Times New Roman" w:eastAsia="Times New Roman" w:hAnsi="Times New Roman" w:cs="Times New Roman"/>
      <w:sz w:val="24"/>
      <w:szCs w:val="24"/>
      <w:lang w:val="cs-CZ" w:eastAsia="cs-CZ"/>
    </w:rPr>
  </w:style>
  <w:style w:type="paragraph" w:customStyle="1" w:styleId="TTPAddress">
    <w:name w:val="TTP Address"/>
    <w:basedOn w:val="Normal"/>
    <w:uiPriority w:val="99"/>
    <w:rsid w:val="00427E7B"/>
    <w:pPr>
      <w:autoSpaceDE w:val="0"/>
      <w:autoSpaceDN w:val="0"/>
      <w:spacing w:before="120" w:after="0" w:line="240" w:lineRule="auto"/>
      <w:ind w:firstLine="284"/>
      <w:jc w:val="center"/>
    </w:pPr>
    <w:rPr>
      <w:rFonts w:ascii="Arial" w:eastAsia="SimSun" w:hAnsi="Arial" w:cs="Times New Roman"/>
      <w:szCs w:val="20"/>
    </w:rPr>
  </w:style>
  <w:style w:type="character" w:customStyle="1" w:styleId="Heading4Char">
    <w:name w:val="Heading 4 Char"/>
    <w:basedOn w:val="DefaultParagraphFont"/>
    <w:link w:val="Heading4"/>
    <w:rsid w:val="002C438C"/>
    <w:rPr>
      <w:rFonts w:ascii="Arial" w:eastAsia="Times New Roman" w:hAnsi="Arial" w:cs="Arial"/>
      <w:b/>
      <w:bCs/>
      <w:sz w:val="24"/>
      <w:szCs w:val="24"/>
      <w:lang w:eastAsia="cs-CZ"/>
    </w:rPr>
  </w:style>
  <w:style w:type="character" w:customStyle="1" w:styleId="Heading5Char">
    <w:name w:val="Heading 5 Char"/>
    <w:basedOn w:val="DefaultParagraphFont"/>
    <w:link w:val="Heading5"/>
    <w:rsid w:val="002C438C"/>
    <w:rPr>
      <w:rFonts w:ascii="Arial" w:eastAsia="Times New Roman" w:hAnsi="Arial" w:cs="Arial"/>
      <w:lang w:eastAsia="cs-CZ"/>
    </w:rPr>
  </w:style>
  <w:style w:type="character" w:customStyle="1" w:styleId="Heading6Char">
    <w:name w:val="Heading 6 Char"/>
    <w:basedOn w:val="DefaultParagraphFont"/>
    <w:link w:val="Heading6"/>
    <w:rsid w:val="002C438C"/>
    <w:rPr>
      <w:rFonts w:ascii="Times New Roman" w:eastAsia="Times New Roman" w:hAnsi="Times New Roman" w:cs="Times New Roman"/>
      <w:i/>
      <w:iCs/>
      <w:lang w:eastAsia="cs-CZ"/>
    </w:rPr>
  </w:style>
  <w:style w:type="character" w:customStyle="1" w:styleId="Heading7Char">
    <w:name w:val="Heading 7 Char"/>
    <w:basedOn w:val="DefaultParagraphFont"/>
    <w:link w:val="Heading7"/>
    <w:rsid w:val="002C438C"/>
    <w:rPr>
      <w:rFonts w:ascii="Arial" w:eastAsia="Times New Roman" w:hAnsi="Arial" w:cs="Arial"/>
      <w:lang w:eastAsia="cs-CZ"/>
    </w:rPr>
  </w:style>
  <w:style w:type="character" w:customStyle="1" w:styleId="Heading8Char">
    <w:name w:val="Heading 8 Char"/>
    <w:basedOn w:val="DefaultParagraphFont"/>
    <w:link w:val="Heading8"/>
    <w:rsid w:val="002C438C"/>
    <w:rPr>
      <w:rFonts w:ascii="Arial" w:eastAsia="Times New Roman" w:hAnsi="Arial" w:cs="Arial"/>
      <w:i/>
      <w:iCs/>
      <w:lang w:eastAsia="cs-CZ"/>
    </w:rPr>
  </w:style>
  <w:style w:type="character" w:customStyle="1" w:styleId="Heading9Char">
    <w:name w:val="Heading 9 Char"/>
    <w:basedOn w:val="DefaultParagraphFont"/>
    <w:link w:val="Heading9"/>
    <w:rsid w:val="002C438C"/>
    <w:rPr>
      <w:rFonts w:ascii="Arial" w:eastAsia="Times New Roman" w:hAnsi="Arial" w:cs="Arial"/>
      <w:b/>
      <w:bCs/>
      <w:i/>
      <w:iCs/>
      <w:sz w:val="18"/>
      <w:szCs w:val="18"/>
      <w:lang w:eastAsia="cs-CZ"/>
    </w:rPr>
  </w:style>
  <w:style w:type="paragraph" w:customStyle="1" w:styleId="Abstract">
    <w:name w:val="Abstract"/>
    <w:rsid w:val="002C438C"/>
    <w:pPr>
      <w:autoSpaceDE w:val="0"/>
      <w:autoSpaceDN w:val="0"/>
      <w:spacing w:after="0" w:line="240" w:lineRule="auto"/>
      <w:ind w:right="567"/>
      <w:jc w:val="both"/>
    </w:pPr>
    <w:rPr>
      <w:rFonts w:ascii="Times New Roman" w:eastAsia="Times New Roman" w:hAnsi="Times New Roman" w:cs="Times New Roman"/>
      <w:lang w:eastAsia="cs-CZ"/>
    </w:rPr>
  </w:style>
  <w:style w:type="paragraph" w:customStyle="1" w:styleId="KeywordTitle">
    <w:name w:val="Keyword Title"/>
    <w:rsid w:val="002C438C"/>
    <w:pPr>
      <w:autoSpaceDE w:val="0"/>
      <w:autoSpaceDN w:val="0"/>
      <w:spacing w:before="240" w:after="120" w:line="240" w:lineRule="auto"/>
      <w:ind w:right="567"/>
    </w:pPr>
    <w:rPr>
      <w:rFonts w:ascii="Times New Roman" w:eastAsia="Times New Roman" w:hAnsi="Times New Roman" w:cs="Times New Roman"/>
      <w:b/>
      <w:bCs/>
      <w:lang w:eastAsia="cs-CZ"/>
    </w:rPr>
  </w:style>
  <w:style w:type="paragraph" w:customStyle="1" w:styleId="Keyword">
    <w:name w:val="Keyword"/>
    <w:rsid w:val="002C438C"/>
    <w:pPr>
      <w:autoSpaceDE w:val="0"/>
      <w:autoSpaceDN w:val="0"/>
      <w:spacing w:after="0" w:line="240" w:lineRule="auto"/>
      <w:ind w:right="567"/>
      <w:jc w:val="both"/>
    </w:pPr>
    <w:rPr>
      <w:rFonts w:ascii="Times New Roman" w:eastAsia="Times New Roman" w:hAnsi="Times New Roman" w:cs="Times New Roman"/>
      <w:lang w:eastAsia="cs-CZ"/>
    </w:rPr>
  </w:style>
  <w:style w:type="paragraph" w:customStyle="1" w:styleId="AbstractTitle">
    <w:name w:val="Abstract Title"/>
    <w:basedOn w:val="Abstract"/>
    <w:next w:val="Abstract"/>
    <w:rsid w:val="002C438C"/>
    <w:pPr>
      <w:spacing w:before="600" w:after="120"/>
      <w:jc w:val="left"/>
    </w:pPr>
    <w:rPr>
      <w:b/>
      <w:bCs/>
    </w:rPr>
  </w:style>
  <w:style w:type="paragraph" w:customStyle="1" w:styleId="Author">
    <w:name w:val="Author"/>
    <w:rsid w:val="002C438C"/>
    <w:pPr>
      <w:autoSpaceDE w:val="0"/>
      <w:autoSpaceDN w:val="0"/>
      <w:spacing w:before="120" w:after="120" w:line="240" w:lineRule="auto"/>
      <w:jc w:val="center"/>
    </w:pPr>
    <w:rPr>
      <w:rFonts w:ascii="Times New Roman" w:eastAsia="Times New Roman" w:hAnsi="Times New Roman" w:cs="Times New Roman"/>
      <w:lang w:eastAsia="cs-CZ"/>
    </w:rPr>
  </w:style>
  <w:style w:type="paragraph" w:customStyle="1" w:styleId="BibItem">
    <w:name w:val="BibItem"/>
    <w:basedOn w:val="BodyText"/>
    <w:rsid w:val="002C438C"/>
    <w:pPr>
      <w:keepLines/>
      <w:numPr>
        <w:numId w:val="4"/>
      </w:numPr>
      <w:tabs>
        <w:tab w:val="clear" w:pos="1222"/>
      </w:tabs>
      <w:autoSpaceDE w:val="0"/>
      <w:autoSpaceDN w:val="0"/>
      <w:spacing w:before="120" w:after="0" w:line="240" w:lineRule="auto"/>
      <w:ind w:left="0" w:firstLine="0"/>
      <w:jc w:val="both"/>
    </w:pPr>
    <w:rPr>
      <w:rFonts w:ascii="Times New Roman" w:eastAsia="Times New Roman" w:hAnsi="Times New Roman" w:cs="Times New Roman"/>
      <w:sz w:val="24"/>
      <w:szCs w:val="24"/>
      <w:lang w:eastAsia="cs-CZ"/>
    </w:rPr>
  </w:style>
  <w:style w:type="paragraph" w:styleId="ListNumber">
    <w:name w:val="List Number"/>
    <w:basedOn w:val="Normal"/>
    <w:rsid w:val="002C438C"/>
    <w:pPr>
      <w:numPr>
        <w:numId w:val="6"/>
      </w:numPr>
      <w:tabs>
        <w:tab w:val="clear" w:pos="720"/>
      </w:tabs>
      <w:autoSpaceDE w:val="0"/>
      <w:autoSpaceDN w:val="0"/>
      <w:spacing w:before="120" w:after="0" w:line="240" w:lineRule="auto"/>
      <w:ind w:left="0" w:firstLine="0"/>
      <w:jc w:val="both"/>
    </w:pPr>
    <w:rPr>
      <w:rFonts w:ascii="Times New Roman" w:eastAsia="Times New Roman" w:hAnsi="Times New Roman" w:cs="Times New Roman"/>
      <w:lang w:eastAsia="cs-CZ"/>
    </w:rPr>
  </w:style>
  <w:style w:type="paragraph" w:customStyle="1" w:styleId="Equation">
    <w:name w:val="Equation"/>
    <w:rsid w:val="002C438C"/>
    <w:pPr>
      <w:tabs>
        <w:tab w:val="center" w:pos="4536"/>
        <w:tab w:val="right" w:pos="9072"/>
      </w:tabs>
      <w:autoSpaceDE w:val="0"/>
      <w:autoSpaceDN w:val="0"/>
      <w:spacing w:before="160" w:after="120" w:line="240" w:lineRule="auto"/>
      <w:jc w:val="center"/>
    </w:pPr>
    <w:rPr>
      <w:rFonts w:ascii="Times New Roman" w:eastAsia="Times New Roman" w:hAnsi="Times New Roman" w:cs="Times New Roman"/>
      <w:lang w:eastAsia="cs-CZ"/>
    </w:rPr>
  </w:style>
  <w:style w:type="paragraph" w:customStyle="1" w:styleId="Figure">
    <w:name w:val="Figure"/>
    <w:rsid w:val="002C438C"/>
    <w:pPr>
      <w:autoSpaceDE w:val="0"/>
      <w:autoSpaceDN w:val="0"/>
      <w:spacing w:before="240" w:after="0" w:line="240" w:lineRule="auto"/>
      <w:jc w:val="center"/>
    </w:pPr>
    <w:rPr>
      <w:rFonts w:ascii="Times New Roman" w:eastAsia="Times New Roman" w:hAnsi="Times New Roman" w:cs="Times New Roman"/>
      <w:lang w:eastAsia="cs-CZ"/>
    </w:rPr>
  </w:style>
  <w:style w:type="paragraph" w:styleId="ListBullet">
    <w:name w:val="List Bullet"/>
    <w:basedOn w:val="Normal"/>
    <w:autoRedefine/>
    <w:rsid w:val="002C438C"/>
    <w:pPr>
      <w:numPr>
        <w:numId w:val="5"/>
      </w:numPr>
      <w:tabs>
        <w:tab w:val="clear" w:pos="720"/>
      </w:tabs>
      <w:autoSpaceDE w:val="0"/>
      <w:autoSpaceDN w:val="0"/>
      <w:spacing w:before="60" w:after="60" w:line="240" w:lineRule="auto"/>
      <w:ind w:left="0" w:firstLine="0"/>
      <w:jc w:val="both"/>
    </w:pPr>
    <w:rPr>
      <w:rFonts w:ascii="Times New Roman" w:eastAsia="Times New Roman" w:hAnsi="Times New Roman" w:cs="Times New Roman"/>
      <w:sz w:val="24"/>
      <w:lang w:val="cs-CZ" w:eastAsia="cs-CZ"/>
    </w:rPr>
  </w:style>
  <w:style w:type="paragraph" w:customStyle="1" w:styleId="Tabular">
    <w:name w:val="Tabular"/>
    <w:rsid w:val="002C438C"/>
    <w:pPr>
      <w:autoSpaceDE w:val="0"/>
      <w:autoSpaceDN w:val="0"/>
      <w:spacing w:after="0" w:line="240" w:lineRule="auto"/>
      <w:jc w:val="center"/>
    </w:pPr>
    <w:rPr>
      <w:rFonts w:ascii="Times New Roman" w:eastAsia="Times New Roman" w:hAnsi="Times New Roman" w:cs="Times New Roman"/>
      <w:lang w:eastAsia="cs-CZ"/>
    </w:rPr>
  </w:style>
  <w:style w:type="paragraph" w:styleId="FootnoteText">
    <w:name w:val="footnote text"/>
    <w:basedOn w:val="Normal"/>
    <w:link w:val="FootnoteTextChar"/>
    <w:semiHidden/>
    <w:rsid w:val="002C438C"/>
    <w:pPr>
      <w:autoSpaceDE w:val="0"/>
      <w:autoSpaceDN w:val="0"/>
      <w:spacing w:before="120" w:after="0" w:line="240" w:lineRule="auto"/>
      <w:ind w:firstLine="284"/>
      <w:jc w:val="both"/>
    </w:pPr>
    <w:rPr>
      <w:rFonts w:ascii="Times New Roman" w:eastAsia="Times New Roman" w:hAnsi="Times New Roman" w:cs="Times New Roman"/>
      <w:lang w:val="cs-CZ" w:eastAsia="cs-CZ"/>
    </w:rPr>
  </w:style>
  <w:style w:type="character" w:customStyle="1" w:styleId="FootnoteTextChar">
    <w:name w:val="Footnote Text Char"/>
    <w:basedOn w:val="DefaultParagraphFont"/>
    <w:link w:val="FootnoteText"/>
    <w:semiHidden/>
    <w:rsid w:val="002C438C"/>
    <w:rPr>
      <w:rFonts w:ascii="Times New Roman" w:eastAsia="Times New Roman" w:hAnsi="Times New Roman" w:cs="Times New Roman"/>
      <w:lang w:val="cs-CZ" w:eastAsia="cs-CZ"/>
    </w:rPr>
  </w:style>
  <w:style w:type="paragraph" w:styleId="Title">
    <w:name w:val="Title"/>
    <w:basedOn w:val="Normal"/>
    <w:link w:val="TitleChar"/>
    <w:qFormat/>
    <w:rsid w:val="002C438C"/>
    <w:pPr>
      <w:autoSpaceDE w:val="0"/>
      <w:autoSpaceDN w:val="0"/>
      <w:spacing w:before="480" w:after="120" w:line="240" w:lineRule="auto"/>
      <w:ind w:left="851" w:right="850" w:firstLine="284"/>
      <w:jc w:val="center"/>
    </w:pPr>
    <w:rPr>
      <w:rFonts w:ascii="Times New Roman" w:eastAsia="Times New Roman" w:hAnsi="Times New Roman" w:cs="Arial"/>
      <w:b/>
      <w:caps/>
      <w:sz w:val="32"/>
      <w:szCs w:val="32"/>
      <w:lang w:eastAsia="cs-CZ"/>
    </w:rPr>
  </w:style>
  <w:style w:type="character" w:customStyle="1" w:styleId="TitleChar">
    <w:name w:val="Title Char"/>
    <w:basedOn w:val="DefaultParagraphFont"/>
    <w:link w:val="Title"/>
    <w:rsid w:val="002C438C"/>
    <w:rPr>
      <w:rFonts w:ascii="Times New Roman" w:eastAsia="Times New Roman" w:hAnsi="Times New Roman" w:cs="Arial"/>
      <w:b/>
      <w:caps/>
      <w:sz w:val="32"/>
      <w:szCs w:val="32"/>
      <w:lang w:eastAsia="cs-CZ"/>
    </w:rPr>
  </w:style>
  <w:style w:type="character" w:styleId="FootnoteReference">
    <w:name w:val="footnote reference"/>
    <w:semiHidden/>
    <w:rsid w:val="002C438C"/>
    <w:rPr>
      <w:vertAlign w:val="superscript"/>
    </w:rPr>
  </w:style>
  <w:style w:type="character" w:customStyle="1" w:styleId="Emphasized">
    <w:name w:val="Emphasized"/>
    <w:rsid w:val="002C438C"/>
    <w:rPr>
      <w:i/>
      <w:iCs/>
    </w:rPr>
  </w:style>
  <w:style w:type="character" w:styleId="PageNumber">
    <w:name w:val="page number"/>
    <w:basedOn w:val="DefaultParagraphFont"/>
    <w:rsid w:val="002C438C"/>
  </w:style>
  <w:style w:type="paragraph" w:customStyle="1" w:styleId="Literatura">
    <w:name w:val="Literatura"/>
    <w:rsid w:val="002C438C"/>
    <w:pPr>
      <w:keepNext/>
      <w:autoSpaceDE w:val="0"/>
      <w:autoSpaceDN w:val="0"/>
      <w:spacing w:before="360" w:after="60" w:line="240" w:lineRule="auto"/>
    </w:pPr>
    <w:rPr>
      <w:rFonts w:ascii="Times New Roman" w:eastAsia="Times New Roman" w:hAnsi="Times New Roman" w:cs="Times New Roman"/>
      <w:b/>
      <w:bCs/>
      <w:kern w:val="28"/>
      <w:sz w:val="30"/>
      <w:szCs w:val="30"/>
      <w:lang w:eastAsia="cs-CZ"/>
    </w:rPr>
  </w:style>
  <w:style w:type="paragraph" w:styleId="BodyTextIndent">
    <w:name w:val="Body Text Indent"/>
    <w:basedOn w:val="Normal"/>
    <w:link w:val="BodyTextIndentChar"/>
    <w:rsid w:val="002C438C"/>
    <w:pPr>
      <w:tabs>
        <w:tab w:val="left" w:pos="709"/>
      </w:tabs>
      <w:autoSpaceDE w:val="0"/>
      <w:autoSpaceDN w:val="0"/>
      <w:spacing w:before="120" w:after="0" w:line="360" w:lineRule="auto"/>
      <w:ind w:firstLine="567"/>
      <w:jc w:val="both"/>
    </w:pPr>
    <w:rPr>
      <w:rFonts w:ascii="Times New Roman" w:eastAsia="Times New Roman" w:hAnsi="Times New Roman" w:cs="Times New Roman"/>
      <w:sz w:val="24"/>
      <w:szCs w:val="24"/>
      <w:lang w:val="cs-CZ" w:eastAsia="cs-CZ"/>
    </w:rPr>
  </w:style>
  <w:style w:type="character" w:customStyle="1" w:styleId="BodyTextIndentChar">
    <w:name w:val="Body Text Indent Char"/>
    <w:basedOn w:val="DefaultParagraphFont"/>
    <w:link w:val="BodyTextIndent"/>
    <w:rsid w:val="002C438C"/>
    <w:rPr>
      <w:rFonts w:ascii="Times New Roman" w:eastAsia="Times New Roman" w:hAnsi="Times New Roman" w:cs="Times New Roman"/>
      <w:sz w:val="24"/>
      <w:szCs w:val="24"/>
      <w:lang w:val="cs-CZ" w:eastAsia="cs-CZ"/>
    </w:rPr>
  </w:style>
  <w:style w:type="paragraph" w:styleId="BodyTextIndent3">
    <w:name w:val="Body Text Indent 3"/>
    <w:basedOn w:val="Normal"/>
    <w:link w:val="BodyTextIndent3Char"/>
    <w:rsid w:val="002C438C"/>
    <w:pPr>
      <w:autoSpaceDE w:val="0"/>
      <w:autoSpaceDN w:val="0"/>
      <w:spacing w:before="120" w:after="0" w:line="240" w:lineRule="auto"/>
      <w:ind w:firstLine="567"/>
      <w:jc w:val="both"/>
    </w:pPr>
    <w:rPr>
      <w:rFonts w:ascii="Times New Roman" w:eastAsia="Times New Roman" w:hAnsi="Times New Roman" w:cs="Times New Roman"/>
      <w:sz w:val="24"/>
      <w:szCs w:val="24"/>
      <w:lang w:val="cs-CZ" w:eastAsia="cs-CZ"/>
    </w:rPr>
  </w:style>
  <w:style w:type="character" w:customStyle="1" w:styleId="BodyTextIndent3Char">
    <w:name w:val="Body Text Indent 3 Char"/>
    <w:basedOn w:val="DefaultParagraphFont"/>
    <w:link w:val="BodyTextIndent3"/>
    <w:rsid w:val="002C438C"/>
    <w:rPr>
      <w:rFonts w:ascii="Times New Roman" w:eastAsia="Times New Roman" w:hAnsi="Times New Roman" w:cs="Times New Roman"/>
      <w:sz w:val="24"/>
      <w:szCs w:val="24"/>
      <w:lang w:val="cs-CZ" w:eastAsia="cs-CZ"/>
    </w:rPr>
  </w:style>
  <w:style w:type="paragraph" w:styleId="BodyTextIndent2">
    <w:name w:val="Body Text Indent 2"/>
    <w:basedOn w:val="Normal"/>
    <w:link w:val="BodyTextIndent2Char"/>
    <w:rsid w:val="002C438C"/>
    <w:pPr>
      <w:autoSpaceDE w:val="0"/>
      <w:autoSpaceDN w:val="0"/>
      <w:spacing w:before="120" w:after="0" w:line="360" w:lineRule="auto"/>
      <w:ind w:firstLine="709"/>
      <w:jc w:val="both"/>
    </w:pPr>
    <w:rPr>
      <w:rFonts w:ascii="Times New Roman" w:eastAsia="Times New Roman" w:hAnsi="Times New Roman" w:cs="Times New Roman"/>
      <w:lang w:val="cs-CZ" w:eastAsia="cs-CZ"/>
    </w:rPr>
  </w:style>
  <w:style w:type="character" w:customStyle="1" w:styleId="BodyTextIndent2Char">
    <w:name w:val="Body Text Indent 2 Char"/>
    <w:basedOn w:val="DefaultParagraphFont"/>
    <w:link w:val="BodyTextIndent2"/>
    <w:rsid w:val="002C438C"/>
    <w:rPr>
      <w:rFonts w:ascii="Times New Roman" w:eastAsia="Times New Roman" w:hAnsi="Times New Roman" w:cs="Times New Roman"/>
      <w:lang w:val="cs-CZ" w:eastAsia="cs-CZ"/>
    </w:rPr>
  </w:style>
  <w:style w:type="paragraph" w:customStyle="1" w:styleId="Nadpisobrzku">
    <w:name w:val="Nadpis obrázku"/>
    <w:basedOn w:val="Nadpistabulky"/>
    <w:rsid w:val="002C438C"/>
    <w:pPr>
      <w:jc w:val="center"/>
    </w:pPr>
  </w:style>
  <w:style w:type="paragraph" w:customStyle="1" w:styleId="TTPTitle">
    <w:name w:val="TTP Title"/>
    <w:basedOn w:val="Normal"/>
    <w:next w:val="Normal"/>
    <w:uiPriority w:val="99"/>
    <w:rsid w:val="002C438C"/>
    <w:pPr>
      <w:autoSpaceDE w:val="0"/>
      <w:autoSpaceDN w:val="0"/>
      <w:spacing w:before="120" w:after="120" w:line="240" w:lineRule="auto"/>
      <w:ind w:firstLine="284"/>
      <w:jc w:val="center"/>
    </w:pPr>
    <w:rPr>
      <w:rFonts w:ascii="Arial" w:eastAsia="SimSun" w:hAnsi="Arial" w:cs="Times New Roman"/>
      <w:b/>
      <w:sz w:val="30"/>
      <w:szCs w:val="20"/>
    </w:rPr>
  </w:style>
  <w:style w:type="paragraph" w:customStyle="1" w:styleId="TTPAbstract">
    <w:name w:val="TTP Abstract"/>
    <w:basedOn w:val="Normal"/>
    <w:next w:val="Normal"/>
    <w:uiPriority w:val="99"/>
    <w:rsid w:val="002C438C"/>
    <w:pPr>
      <w:autoSpaceDE w:val="0"/>
      <w:autoSpaceDN w:val="0"/>
      <w:spacing w:before="360" w:after="0" w:line="240" w:lineRule="auto"/>
      <w:ind w:firstLine="284"/>
      <w:jc w:val="both"/>
    </w:pPr>
    <w:rPr>
      <w:rFonts w:ascii="Times New Roman" w:eastAsia="SimSun" w:hAnsi="Times New Roman" w:cs="Times New Roman"/>
      <w:sz w:val="24"/>
      <w:szCs w:val="20"/>
    </w:rPr>
  </w:style>
  <w:style w:type="paragraph" w:customStyle="1" w:styleId="References">
    <w:name w:val="References"/>
    <w:basedOn w:val="Normal"/>
    <w:rsid w:val="002C438C"/>
    <w:pPr>
      <w:numPr>
        <w:numId w:val="9"/>
      </w:numPr>
      <w:tabs>
        <w:tab w:val="clear" w:pos="360"/>
      </w:tabs>
      <w:autoSpaceDE w:val="0"/>
      <w:autoSpaceDN w:val="0"/>
      <w:spacing w:before="120" w:after="0" w:line="240" w:lineRule="auto"/>
      <w:ind w:left="0" w:firstLine="0"/>
      <w:jc w:val="both"/>
    </w:pPr>
    <w:rPr>
      <w:rFonts w:ascii="Times New Roman" w:eastAsia="PMingLiU" w:hAnsi="Times New Roman" w:cs="Times New Roman"/>
      <w:sz w:val="16"/>
      <w:szCs w:val="16"/>
    </w:rPr>
  </w:style>
  <w:style w:type="paragraph" w:customStyle="1" w:styleId="Text">
    <w:name w:val="Text"/>
    <w:basedOn w:val="Normal"/>
    <w:rsid w:val="002C438C"/>
    <w:pPr>
      <w:widowControl w:val="0"/>
      <w:autoSpaceDE w:val="0"/>
      <w:autoSpaceDN w:val="0"/>
      <w:spacing w:before="120" w:after="0" w:line="252" w:lineRule="auto"/>
      <w:ind w:firstLine="202"/>
      <w:jc w:val="both"/>
    </w:pPr>
    <w:rPr>
      <w:rFonts w:ascii="Times New Roman" w:eastAsia="PMingLiU" w:hAnsi="Times New Roman" w:cs="Times New Roman"/>
      <w:sz w:val="24"/>
      <w:szCs w:val="20"/>
    </w:rPr>
  </w:style>
  <w:style w:type="paragraph" w:customStyle="1" w:styleId="ReferenceHead">
    <w:name w:val="Reference Head"/>
    <w:basedOn w:val="Heading1"/>
    <w:rsid w:val="002C438C"/>
    <w:pPr>
      <w:keepLines w:val="0"/>
      <w:autoSpaceDE w:val="0"/>
      <w:autoSpaceDN w:val="0"/>
      <w:spacing w:before="240" w:after="80" w:line="240" w:lineRule="auto"/>
      <w:jc w:val="center"/>
    </w:pPr>
    <w:rPr>
      <w:rFonts w:ascii="Times New Roman" w:eastAsia="PMingLiU" w:hAnsi="Times New Roman" w:cs="Times New Roman"/>
      <w:b w:val="0"/>
      <w:bCs w:val="0"/>
      <w:smallCaps/>
      <w:color w:val="auto"/>
      <w:kern w:val="28"/>
      <w:sz w:val="20"/>
      <w:szCs w:val="20"/>
    </w:rPr>
  </w:style>
  <w:style w:type="paragraph" w:customStyle="1" w:styleId="TTPParagraphothers">
    <w:name w:val="TTP Paragraph (others)"/>
    <w:basedOn w:val="TTPParagraph1st"/>
    <w:uiPriority w:val="99"/>
    <w:unhideWhenUsed/>
    <w:rsid w:val="002C438C"/>
    <w:pPr>
      <w:ind w:firstLine="283"/>
    </w:pPr>
  </w:style>
  <w:style w:type="paragraph" w:customStyle="1" w:styleId="TTPEquation">
    <w:name w:val="TTP Equation"/>
    <w:basedOn w:val="Normal"/>
    <w:next w:val="TTPParagraph1st"/>
    <w:uiPriority w:val="99"/>
    <w:unhideWhenUsed/>
    <w:rsid w:val="002C438C"/>
    <w:pPr>
      <w:tabs>
        <w:tab w:val="right" w:pos="9923"/>
      </w:tabs>
      <w:autoSpaceDE w:val="0"/>
      <w:autoSpaceDN w:val="0"/>
      <w:spacing w:before="240" w:after="240" w:line="240" w:lineRule="auto"/>
      <w:ind w:left="284" w:right="-11" w:firstLine="284"/>
      <w:jc w:val="both"/>
    </w:pPr>
    <w:rPr>
      <w:rFonts w:ascii="Times New Roman" w:eastAsia="SimSun" w:hAnsi="Times New Roman" w:cs="Times New Roman" w:hint="eastAsia"/>
      <w:sz w:val="24"/>
      <w:szCs w:val="20"/>
      <w:lang w:val="de-DE"/>
    </w:rPr>
  </w:style>
  <w:style w:type="paragraph" w:customStyle="1" w:styleId="TTPParagraph1st">
    <w:name w:val="TTP Paragraph (1st)"/>
    <w:basedOn w:val="Normal"/>
    <w:next w:val="TTPParagraphothers"/>
    <w:uiPriority w:val="99"/>
    <w:unhideWhenUsed/>
    <w:rsid w:val="002C438C"/>
    <w:pPr>
      <w:autoSpaceDE w:val="0"/>
      <w:autoSpaceDN w:val="0"/>
      <w:spacing w:before="120" w:after="0" w:line="240" w:lineRule="auto"/>
      <w:ind w:firstLine="284"/>
      <w:jc w:val="both"/>
    </w:pPr>
    <w:rPr>
      <w:rFonts w:ascii="Times New Roman" w:eastAsia="SimSun" w:hAnsi="Times New Roman" w:cs="Times New Roman" w:hint="eastAsia"/>
      <w:sz w:val="24"/>
      <w:szCs w:val="20"/>
    </w:rPr>
  </w:style>
  <w:style w:type="paragraph" w:customStyle="1" w:styleId="TTPSectionHeading">
    <w:name w:val="TTP Section Heading"/>
    <w:basedOn w:val="Normal"/>
    <w:next w:val="TTPParagraph1st"/>
    <w:uiPriority w:val="99"/>
    <w:unhideWhenUsed/>
    <w:rsid w:val="002C438C"/>
    <w:pPr>
      <w:autoSpaceDE w:val="0"/>
      <w:autoSpaceDN w:val="0"/>
      <w:spacing w:before="360" w:after="120" w:line="240" w:lineRule="auto"/>
      <w:ind w:firstLine="284"/>
      <w:jc w:val="both"/>
    </w:pPr>
    <w:rPr>
      <w:rFonts w:ascii="Times New Roman" w:eastAsia="SimSun" w:hAnsi="Times New Roman" w:cs="Times New Roman" w:hint="eastAsia"/>
      <w:b/>
      <w:sz w:val="24"/>
      <w:szCs w:val="20"/>
    </w:rPr>
  </w:style>
  <w:style w:type="paragraph" w:customStyle="1" w:styleId="a">
    <w:name w:val="文献"/>
    <w:basedOn w:val="Normal"/>
    <w:unhideWhenUsed/>
    <w:qFormat/>
    <w:rsid w:val="002C438C"/>
    <w:pPr>
      <w:tabs>
        <w:tab w:val="num" w:pos="432"/>
      </w:tabs>
      <w:spacing w:before="120" w:after="120" w:line="280" w:lineRule="exact"/>
      <w:ind w:left="432" w:hanging="432"/>
      <w:jc w:val="both"/>
    </w:pPr>
    <w:rPr>
      <w:rFonts w:ascii="Times New Roman" w:eastAsia="MS Mincho" w:hAnsi="Times New Roman" w:cs="Times New Roman" w:hint="eastAsia"/>
      <w:kern w:val="2"/>
      <w:sz w:val="24"/>
      <w:szCs w:val="20"/>
      <w:shd w:val="clear" w:color="auto" w:fill="FFFFFF"/>
      <w:lang w:eastAsia="ja-JP"/>
    </w:rPr>
  </w:style>
  <w:style w:type="character" w:styleId="FollowedHyperlink">
    <w:name w:val="FollowedHyperlink"/>
    <w:rsid w:val="002C438C"/>
    <w:rPr>
      <w:color w:val="954F72"/>
      <w:u w:val="single"/>
    </w:rPr>
  </w:style>
  <w:style w:type="paragraph" w:customStyle="1" w:styleId="ReferencesText">
    <w:name w:val="References Text"/>
    <w:basedOn w:val="Normal"/>
    <w:rsid w:val="002C438C"/>
    <w:pPr>
      <w:spacing w:after="40" w:line="240" w:lineRule="auto"/>
      <w:ind w:left="284" w:hanging="284"/>
      <w:jc w:val="both"/>
    </w:pPr>
    <w:rPr>
      <w:rFonts w:ascii="Times New Roman" w:eastAsia="Times New Roman" w:hAnsi="Times New Roman" w:cs="Times New Roman"/>
      <w:sz w:val="18"/>
      <w:szCs w:val="24"/>
    </w:rPr>
  </w:style>
  <w:style w:type="character" w:customStyle="1" w:styleId="apple-converted-space">
    <w:name w:val="apple-converted-space"/>
    <w:rsid w:val="002C438C"/>
  </w:style>
  <w:style w:type="paragraph" w:styleId="DocumentMap">
    <w:name w:val="Document Map"/>
    <w:basedOn w:val="Normal"/>
    <w:link w:val="DocumentMapChar"/>
    <w:rsid w:val="002C438C"/>
    <w:pPr>
      <w:autoSpaceDE w:val="0"/>
      <w:autoSpaceDN w:val="0"/>
      <w:spacing w:after="0" w:line="240" w:lineRule="auto"/>
      <w:ind w:firstLine="284"/>
      <w:jc w:val="both"/>
    </w:pPr>
    <w:rPr>
      <w:rFonts w:ascii="Tahoma" w:eastAsia="Times New Roman" w:hAnsi="Tahoma" w:cs="Tahoma"/>
      <w:sz w:val="16"/>
      <w:szCs w:val="16"/>
      <w:lang w:val="cs-CZ" w:eastAsia="cs-CZ"/>
    </w:rPr>
  </w:style>
  <w:style w:type="character" w:customStyle="1" w:styleId="DocumentMapChar">
    <w:name w:val="Document Map Char"/>
    <w:basedOn w:val="DefaultParagraphFont"/>
    <w:link w:val="DocumentMap"/>
    <w:rsid w:val="002C438C"/>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00738">
      <w:bodyDiv w:val="1"/>
      <w:marLeft w:val="0"/>
      <w:marRight w:val="0"/>
      <w:marTop w:val="0"/>
      <w:marBottom w:val="0"/>
      <w:divBdr>
        <w:top w:val="none" w:sz="0" w:space="0" w:color="auto"/>
        <w:left w:val="none" w:sz="0" w:space="0" w:color="auto"/>
        <w:bottom w:val="none" w:sz="0" w:space="0" w:color="auto"/>
        <w:right w:val="none" w:sz="0" w:space="0" w:color="auto"/>
      </w:divBdr>
    </w:div>
    <w:div w:id="1021082467">
      <w:bodyDiv w:val="1"/>
      <w:marLeft w:val="0"/>
      <w:marRight w:val="0"/>
      <w:marTop w:val="0"/>
      <w:marBottom w:val="0"/>
      <w:divBdr>
        <w:top w:val="none" w:sz="0" w:space="0" w:color="auto"/>
        <w:left w:val="none" w:sz="0" w:space="0" w:color="auto"/>
        <w:bottom w:val="none" w:sz="0" w:space="0" w:color="auto"/>
        <w:right w:val="none" w:sz="0" w:space="0" w:color="auto"/>
      </w:divBdr>
    </w:div>
    <w:div w:id="21314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IJCHM-12-2018-1007" TargetMode="External"/><Relationship Id="rId18" Type="http://schemas.openxmlformats.org/officeDocument/2006/relationships/hyperlink" Target="https://doi.org/10.1080/14778238.2018.1428069" TargetMode="External"/><Relationship Id="rId26" Type="http://schemas.openxmlformats.org/officeDocument/2006/relationships/hyperlink" Target="https://doi.org/10.1016/j.ijhm.2018.05.022" TargetMode="External"/><Relationship Id="rId39" Type="http://schemas.openxmlformats.org/officeDocument/2006/relationships/hyperlink" Target="https://doi.org/10.1097/MD.0000000000016330" TargetMode="External"/><Relationship Id="rId21" Type="http://schemas.openxmlformats.org/officeDocument/2006/relationships/hyperlink" Target="https://doi.org/10.1108/JIC-11-2018-0206" TargetMode="External"/><Relationship Id="rId34" Type="http://schemas.openxmlformats.org/officeDocument/2006/relationships/hyperlink" Target="http://statistici.insse.ro:8077/tempo-online/" TargetMode="External"/><Relationship Id="rId42" Type="http://schemas.openxmlformats.org/officeDocument/2006/relationships/hyperlink" Target="https://doi.org/10.1111/j.1467-6486.2004.00435.x" TargetMode="External"/><Relationship Id="rId47" Type="http://schemas.openxmlformats.org/officeDocument/2006/relationships/theme" Target="theme/theme1.xml"/><Relationship Id="rId7" Type="http://schemas.openxmlformats.org/officeDocument/2006/relationships/hyperlink" Target="https://doi.org/10.4995/ijpme.2020.10817" TargetMode="External"/><Relationship Id="rId2" Type="http://schemas.openxmlformats.org/officeDocument/2006/relationships/styles" Target="styles.xml"/><Relationship Id="rId16" Type="http://schemas.openxmlformats.org/officeDocument/2006/relationships/hyperlink" Target="https://doi.org/10.1201/b13880" TargetMode="External"/><Relationship Id="rId29" Type="http://schemas.openxmlformats.org/officeDocument/2006/relationships/hyperlink" Target="https://doi.org/10.1057/kmrp.2014.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04/IJTM.2015.071551" TargetMode="External"/><Relationship Id="rId24" Type="http://schemas.openxmlformats.org/officeDocument/2006/relationships/hyperlink" Target="https://doi.org/10.1080/14778238.2021.1880300" TargetMode="External"/><Relationship Id="rId32" Type="http://schemas.openxmlformats.org/officeDocument/2006/relationships/hyperlink" Target="https://doi.org/10.3390/su11164371" TargetMode="External"/><Relationship Id="rId37" Type="http://schemas.openxmlformats.org/officeDocument/2006/relationships/hyperlink" Target="https://doi.org/10.1016/j.ijhm.2018.03.001" TargetMode="External"/><Relationship Id="rId40" Type="http://schemas.openxmlformats.org/officeDocument/2006/relationships/hyperlink" Target="https://doi.org/10.3390/su10124651"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08/JIC-12-2013-0118" TargetMode="External"/><Relationship Id="rId23" Type="http://schemas.openxmlformats.org/officeDocument/2006/relationships/hyperlink" Target="https://doi.org/10.1016/j.apmrv.2018.01.006" TargetMode="External"/><Relationship Id="rId28" Type="http://schemas.openxmlformats.org/officeDocument/2006/relationships/hyperlink" Target="https://doi.org/10.1016/j.tourman.2017.03.017" TargetMode="External"/><Relationship Id="rId36" Type="http://schemas.openxmlformats.org/officeDocument/2006/relationships/hyperlink" Target="https://doi.org/10.1080/13683500.2019.1572717" TargetMode="External"/><Relationship Id="rId10" Type="http://schemas.openxmlformats.org/officeDocument/2006/relationships/hyperlink" Target="https://doi.org/10.1080/09585192.2010.505088" TargetMode="External"/><Relationship Id="rId19" Type="http://schemas.openxmlformats.org/officeDocument/2006/relationships/hyperlink" Target="https://doi.org/10.1080/0951192X.2025.2556440" TargetMode="External"/><Relationship Id="rId31" Type="http://schemas.openxmlformats.org/officeDocument/2006/relationships/hyperlink" Target="https://doi.org/10.1080/00036846.2019.1645283"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8/IJCHM-12-2013-0541" TargetMode="External"/><Relationship Id="rId14" Type="http://schemas.openxmlformats.org/officeDocument/2006/relationships/hyperlink" Target="https://doi.org/10.1108/JIC-08-2016-0083" TargetMode="External"/><Relationship Id="rId22" Type="http://schemas.openxmlformats.org/officeDocument/2006/relationships/hyperlink" Target="https://doi.org/10.2307/2529310" TargetMode="External"/><Relationship Id="rId27" Type="http://schemas.openxmlformats.org/officeDocument/2006/relationships/hyperlink" Target="https://doi.org/10.1016/j.jhtm.2020.03.003" TargetMode="External"/><Relationship Id="rId30" Type="http://schemas.openxmlformats.org/officeDocument/2006/relationships/hyperlink" Target="https://doi.org/10.1007/s10551-010-0644-5" TargetMode="External"/><Relationship Id="rId35" Type="http://schemas.openxmlformats.org/officeDocument/2006/relationships/hyperlink" Target="https://doi.org/10.1016/j.jhtm.2020.01.002" TargetMode="External"/><Relationship Id="rId43" Type="http://schemas.openxmlformats.org/officeDocument/2006/relationships/header" Target="header1.xml"/><Relationship Id="rId8" Type="http://schemas.openxmlformats.org/officeDocument/2006/relationships/hyperlink" Target="https://doi.org/10.1080/10438599.2014.924745" TargetMode="External"/><Relationship Id="rId3" Type="http://schemas.openxmlformats.org/officeDocument/2006/relationships/settings" Target="settings.xml"/><Relationship Id="rId12" Type="http://schemas.openxmlformats.org/officeDocument/2006/relationships/hyperlink" Target="https://ec.europa.eu/growth/tools-databases/regional-innovation-monitor/keywords/early-stage-financing" TargetMode="External"/><Relationship Id="rId17" Type="http://schemas.openxmlformats.org/officeDocument/2006/relationships/hyperlink" Target="https://doi.org/10.1080/02642060701453221" TargetMode="External"/><Relationship Id="rId25" Type="http://schemas.openxmlformats.org/officeDocument/2006/relationships/hyperlink" Target="https://doi.org/10.1108/IMDS-03-2023-0159" TargetMode="External"/><Relationship Id="rId33" Type="http://schemas.openxmlformats.org/officeDocument/2006/relationships/hyperlink" Target="https://doi.org/10.1108/IMDS-08-2022-0467" TargetMode="External"/><Relationship Id="rId38" Type="http://schemas.openxmlformats.org/officeDocument/2006/relationships/hyperlink" Target="https://doi.org/10.1108/JIC-02-2020-0066" TargetMode="External"/><Relationship Id="rId46" Type="http://schemas.openxmlformats.org/officeDocument/2006/relationships/fontTable" Target="fontTable.xml"/><Relationship Id="rId20" Type="http://schemas.openxmlformats.org/officeDocument/2006/relationships/hyperlink" Target="https://doi.org/10.1108/MBE-08-2015-0043" TargetMode="External"/><Relationship Id="rId41" Type="http://schemas.openxmlformats.org/officeDocument/2006/relationships/hyperlink" Target="https://doi.org/10.1016/j.jmsy.2021.10.006"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hyperlink" Target="https://doi.org/10.33422/icbmeconf.v2i1.1453%20" TargetMode="External"/><Relationship Id="rId1" Type="http://schemas.openxmlformats.org/officeDocument/2006/relationships/hyperlink" Target="https://orcid.org/0009-0007-6861-6206"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TotalTime>
  <Pages>19</Pages>
  <Words>9460</Words>
  <Characters>53922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فهیمه خابوری</cp:lastModifiedBy>
  <cp:revision>57</cp:revision>
  <dcterms:created xsi:type="dcterms:W3CDTF">2023-11-14T06:59:00Z</dcterms:created>
  <dcterms:modified xsi:type="dcterms:W3CDTF">2026-02-24T13:01:00Z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feb4f7d0bb5dd62a5d4e3e7afe7bf39bfc3ed8a0a61eee5818c185a6f2072402</vt:lpwstr>
  </property>
</Properties>
</file>